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2E" w:rsidRDefault="002F38E9" w:rsidP="00BF4583">
      <w:pPr>
        <w:pStyle w:val="Heading1"/>
        <w:rPr>
          <w:color w:val="000000"/>
          <w:u w:val="single"/>
        </w:rPr>
      </w:pPr>
      <w:r>
        <w:rPr>
          <w:noProof/>
          <w:color w:val="000000"/>
          <w:sz w:val="20"/>
          <w:u w:val="single"/>
          <w:lang w:val="en-CA" w:eastAsia="en-CA"/>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0" cy="857250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5r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"/>
            </w:pict>
          </mc:Fallback>
        </mc:AlternateContent>
      </w:r>
    </w:p>
    <w:p w:rsidR="00DA23CA" w:rsidRDefault="00B12F2E" w:rsidP="00BF4583">
      <w:pPr>
        <w:pStyle w:val="Heading1"/>
        <w:rPr>
          <w:color w:val="000000"/>
          <w:u w:val="single"/>
        </w:rPr>
      </w:pPr>
      <w:r>
        <w:rPr>
          <w:color w:val="000000"/>
          <w:u w:val="single"/>
        </w:rPr>
        <w:t>Guidelines for the use of</w:t>
      </w:r>
      <w:r w:rsidR="00B844FA">
        <w:rPr>
          <w:color w:val="000000"/>
          <w:u w:val="single"/>
        </w:rPr>
        <w:t xml:space="preserve"> IV </w:t>
      </w:r>
      <w:r w:rsidR="00DA23CA">
        <w:rPr>
          <w:color w:val="000000"/>
          <w:u w:val="single"/>
        </w:rPr>
        <w:t>recombinant tissue plasminogen activator</w:t>
      </w:r>
    </w:p>
    <w:p w:rsidR="00B844FA" w:rsidRDefault="00DA23CA" w:rsidP="00B12F2E">
      <w:pPr>
        <w:pStyle w:val="Heading1"/>
        <w:rPr>
          <w:color w:val="000000"/>
          <w:u w:val="single"/>
        </w:rPr>
      </w:pPr>
      <w:r>
        <w:rPr>
          <w:color w:val="000000"/>
          <w:u w:val="single"/>
        </w:rPr>
        <w:t>(</w:t>
      </w:r>
      <w:proofErr w:type="spellStart"/>
      <w:proofErr w:type="gramStart"/>
      <w:r w:rsidR="00B844FA">
        <w:rPr>
          <w:color w:val="000000"/>
          <w:u w:val="single"/>
        </w:rPr>
        <w:t>rt</w:t>
      </w:r>
      <w:proofErr w:type="spellEnd"/>
      <w:r w:rsidR="00B844FA">
        <w:rPr>
          <w:color w:val="000000"/>
          <w:u w:val="single"/>
        </w:rPr>
        <w:t>-</w:t>
      </w:r>
      <w:r>
        <w:rPr>
          <w:color w:val="000000"/>
          <w:u w:val="single"/>
        </w:rPr>
        <w:t>P</w:t>
      </w:r>
      <w:r w:rsidR="00B844FA">
        <w:rPr>
          <w:color w:val="000000"/>
          <w:u w:val="single"/>
        </w:rPr>
        <w:t>A</w:t>
      </w:r>
      <w:proofErr w:type="gramEnd"/>
      <w:r>
        <w:rPr>
          <w:color w:val="000000"/>
          <w:u w:val="single"/>
        </w:rPr>
        <w:t>)</w:t>
      </w:r>
      <w:r w:rsidR="008D26DC">
        <w:rPr>
          <w:color w:val="000000"/>
          <w:u w:val="single"/>
        </w:rPr>
        <w:t xml:space="preserve">, </w:t>
      </w:r>
      <w:r w:rsidR="008D233A">
        <w:rPr>
          <w:color w:val="000000"/>
          <w:u w:val="single"/>
        </w:rPr>
        <w:t xml:space="preserve">Endovascular </w:t>
      </w:r>
      <w:proofErr w:type="spellStart"/>
      <w:r w:rsidR="008D233A">
        <w:rPr>
          <w:color w:val="000000"/>
          <w:u w:val="single"/>
        </w:rPr>
        <w:t>Thrombectomy</w:t>
      </w:r>
      <w:proofErr w:type="spellEnd"/>
      <w:r w:rsidR="00376B9A">
        <w:rPr>
          <w:color w:val="000000"/>
          <w:u w:val="single"/>
        </w:rPr>
        <w:t xml:space="preserve"> (EVT)</w:t>
      </w:r>
      <w:r w:rsidR="008D26DC">
        <w:rPr>
          <w:color w:val="000000"/>
          <w:u w:val="single"/>
        </w:rPr>
        <w:t xml:space="preserve">, or </w:t>
      </w:r>
      <w:proofErr w:type="spellStart"/>
      <w:r w:rsidR="008D26DC">
        <w:rPr>
          <w:color w:val="000000"/>
          <w:u w:val="single"/>
        </w:rPr>
        <w:t>rt</w:t>
      </w:r>
      <w:proofErr w:type="spellEnd"/>
      <w:r w:rsidR="008D26DC">
        <w:rPr>
          <w:color w:val="000000"/>
          <w:u w:val="single"/>
        </w:rPr>
        <w:t xml:space="preserve">-PA+EVT </w:t>
      </w:r>
      <w:r w:rsidR="00B844FA">
        <w:rPr>
          <w:color w:val="000000"/>
          <w:u w:val="single"/>
        </w:rPr>
        <w:t>in the treatment of acute ischemic stroke at Kingston General Hospital</w:t>
      </w:r>
    </w:p>
    <w:p w:rsidR="00B844FA" w:rsidRDefault="00B844FA"/>
    <w:p w:rsidR="00B844FA" w:rsidRDefault="00B844FA" w:rsidP="00B12F2E">
      <w:pPr>
        <w:pStyle w:val="Heading8"/>
        <w:rPr>
          <w:sz w:val="24"/>
          <w:u w:val="single"/>
        </w:rPr>
      </w:pPr>
      <w:r>
        <w:rPr>
          <w:sz w:val="24"/>
          <w:u w:val="single"/>
        </w:rPr>
        <w:t>Rationale</w:t>
      </w:r>
    </w:p>
    <w:p w:rsidR="00B844FA" w:rsidRDefault="00B844FA">
      <w:pPr>
        <w:ind w:left="180"/>
        <w:rPr>
          <w:b/>
        </w:rPr>
      </w:pPr>
    </w:p>
    <w:p w:rsidR="00B844FA" w:rsidRDefault="00B844FA" w:rsidP="00B12F2E">
      <w:r>
        <w:t xml:space="preserve">The use of intravenous (IV) </w:t>
      </w:r>
      <w:proofErr w:type="spellStart"/>
      <w:r>
        <w:t>rt</w:t>
      </w:r>
      <w:proofErr w:type="spellEnd"/>
      <w:r>
        <w:t xml:space="preserve">-PA, when administered within </w:t>
      </w:r>
      <w:r w:rsidR="00DA23CA" w:rsidRPr="005655CE">
        <w:t>four and a half</w:t>
      </w:r>
      <w:r>
        <w:t xml:space="preserve"> hours of onset of an acute ischemic stroke, has been shown to reduce mor</w:t>
      </w:r>
      <w:r w:rsidR="002F227E">
        <w:t xml:space="preserve">bidity </w:t>
      </w:r>
      <w:r>
        <w:t>and improve functional outcome</w:t>
      </w:r>
      <w:r w:rsidRPr="005655CE">
        <w:t xml:space="preserve">. </w:t>
      </w:r>
      <w:r w:rsidR="00DA23CA" w:rsidRPr="005655CE">
        <w:t xml:space="preserve">Evidence indicates that </w:t>
      </w:r>
      <w:r w:rsidR="00DA23CA" w:rsidRPr="005655CE">
        <w:rPr>
          <w:b/>
        </w:rPr>
        <w:t>time is brain</w:t>
      </w:r>
      <w:r w:rsidR="00DA23CA" w:rsidRPr="005655CE">
        <w:t xml:space="preserve"> - administration of </w:t>
      </w:r>
      <w:proofErr w:type="spellStart"/>
      <w:proofErr w:type="gramStart"/>
      <w:r w:rsidR="00DA23CA" w:rsidRPr="005655CE">
        <w:t>tPA</w:t>
      </w:r>
      <w:proofErr w:type="spellEnd"/>
      <w:proofErr w:type="gramEnd"/>
      <w:r w:rsidR="00DA23CA" w:rsidRPr="005655CE">
        <w:t xml:space="preserve"> as early as possible post stroke is associated with better outcomes and a smaller number needed to treat.</w:t>
      </w:r>
      <w:r w:rsidR="00DA23CA">
        <w:t xml:space="preserve"> </w:t>
      </w:r>
    </w:p>
    <w:p w:rsidR="00F6679E" w:rsidRDefault="00F6679E" w:rsidP="00B12F2E">
      <w:pPr>
        <w:autoSpaceDE w:val="0"/>
        <w:autoSpaceDN w:val="0"/>
        <w:adjustRightInd w:val="0"/>
        <w:rPr>
          <w:b/>
          <w:i/>
        </w:rPr>
      </w:pPr>
    </w:p>
    <w:p w:rsidR="00DE4D4B" w:rsidRPr="00DE4D4B" w:rsidRDefault="002F625E" w:rsidP="00B12F2E">
      <w:pPr>
        <w:autoSpaceDE w:val="0"/>
        <w:autoSpaceDN w:val="0"/>
        <w:adjustRightInd w:val="0"/>
        <w:rPr>
          <w:rFonts w:eastAsia="MS Mincho"/>
          <w:lang w:eastAsia="ja-JP"/>
        </w:rPr>
      </w:pPr>
      <w:r w:rsidRPr="002F625E">
        <w:rPr>
          <w:b/>
          <w:i/>
        </w:rPr>
        <w:t>In</w:t>
      </w:r>
      <w:r w:rsidR="00DE4D4B">
        <w:rPr>
          <w:b/>
          <w:i/>
        </w:rPr>
        <w:t xml:space="preserve"> </w:t>
      </w:r>
      <w:r w:rsidR="000277CF">
        <w:rPr>
          <w:b/>
          <w:i/>
        </w:rPr>
        <w:t>select cases</w:t>
      </w:r>
      <w:r w:rsidR="00B0221B">
        <w:rPr>
          <w:b/>
          <w:i/>
        </w:rPr>
        <w:t xml:space="preserve">, </w:t>
      </w:r>
      <w:r w:rsidR="005B4E4D" w:rsidRPr="002F625E">
        <w:rPr>
          <w:b/>
          <w:i/>
        </w:rPr>
        <w:t xml:space="preserve">use of Endovascular Therapy </w:t>
      </w:r>
      <w:r w:rsidR="00E059C6">
        <w:rPr>
          <w:b/>
          <w:i/>
        </w:rPr>
        <w:t>with</w:t>
      </w:r>
      <w:r w:rsidR="005B4E4D" w:rsidRPr="002F625E">
        <w:rPr>
          <w:b/>
          <w:i/>
        </w:rPr>
        <w:t xml:space="preserve"> mechanical </w:t>
      </w:r>
      <w:proofErr w:type="spellStart"/>
      <w:r w:rsidR="00E059C6">
        <w:rPr>
          <w:b/>
          <w:i/>
        </w:rPr>
        <w:t>thrombectomy</w:t>
      </w:r>
      <w:proofErr w:type="spellEnd"/>
      <w:r w:rsidR="000277CF">
        <w:rPr>
          <w:b/>
          <w:i/>
        </w:rPr>
        <w:t xml:space="preserve"> </w:t>
      </w:r>
      <w:r w:rsidR="008D233A">
        <w:rPr>
          <w:b/>
          <w:i/>
        </w:rPr>
        <w:t xml:space="preserve">(EVT) </w:t>
      </w:r>
      <w:r w:rsidR="00EF34F8">
        <w:rPr>
          <w:b/>
          <w:i/>
        </w:rPr>
        <w:t xml:space="preserve">with </w:t>
      </w:r>
      <w:r w:rsidR="00EF34F8" w:rsidRPr="00F8797A">
        <w:rPr>
          <w:b/>
          <w:i/>
        </w:rPr>
        <w:t xml:space="preserve">or without IV </w:t>
      </w:r>
      <w:proofErr w:type="spellStart"/>
      <w:r w:rsidR="00EF34F8" w:rsidRPr="00F8797A">
        <w:rPr>
          <w:b/>
          <w:i/>
        </w:rPr>
        <w:t>rt</w:t>
      </w:r>
      <w:proofErr w:type="spellEnd"/>
      <w:r w:rsidR="00EF34F8" w:rsidRPr="00F8797A">
        <w:rPr>
          <w:b/>
          <w:i/>
        </w:rPr>
        <w:t>-</w:t>
      </w:r>
      <w:r w:rsidR="000277CF" w:rsidRPr="00F8797A">
        <w:rPr>
          <w:b/>
          <w:i/>
        </w:rPr>
        <w:t xml:space="preserve">PA </w:t>
      </w:r>
      <w:r w:rsidRPr="00F8797A">
        <w:rPr>
          <w:b/>
          <w:i/>
        </w:rPr>
        <w:t>may</w:t>
      </w:r>
      <w:r w:rsidRPr="002F625E">
        <w:rPr>
          <w:b/>
          <w:i/>
        </w:rPr>
        <w:t xml:space="preserve"> be utilized </w:t>
      </w:r>
      <w:r w:rsidR="005B4E4D" w:rsidRPr="002F625E">
        <w:rPr>
          <w:b/>
          <w:i/>
        </w:rPr>
        <w:t xml:space="preserve">for patients with </w:t>
      </w:r>
      <w:r>
        <w:rPr>
          <w:b/>
          <w:i/>
        </w:rPr>
        <w:t xml:space="preserve">an </w:t>
      </w:r>
      <w:r w:rsidR="005B4E4D" w:rsidRPr="002F625E">
        <w:rPr>
          <w:b/>
          <w:i/>
        </w:rPr>
        <w:t xml:space="preserve">acute ischemic </w:t>
      </w:r>
      <w:r w:rsidR="005B4E4D" w:rsidRPr="00BF4583">
        <w:rPr>
          <w:b/>
          <w:i/>
        </w:rPr>
        <w:t xml:space="preserve">stroke. </w:t>
      </w:r>
      <w:r w:rsidR="00DE4D4B" w:rsidRPr="00BF4583">
        <w:rPr>
          <w:rFonts w:eastAsia="MS Mincho"/>
          <w:b/>
          <w:i/>
          <w:lang w:eastAsia="ja-JP"/>
        </w:rPr>
        <w:t>The procedure consists of arterial catheterization</w:t>
      </w:r>
      <w:r w:rsidR="00E059C6">
        <w:rPr>
          <w:rFonts w:eastAsia="MS Mincho"/>
          <w:b/>
          <w:i/>
          <w:lang w:eastAsia="ja-JP"/>
        </w:rPr>
        <w:t xml:space="preserve"> and mechanical clot retrieval</w:t>
      </w:r>
      <w:r w:rsidR="00DE4D4B" w:rsidRPr="00BF4583">
        <w:rPr>
          <w:rFonts w:eastAsia="MS Mincho"/>
          <w:b/>
          <w:i/>
          <w:lang w:eastAsia="ja-JP"/>
        </w:rPr>
        <w:t xml:space="preserve"> or </w:t>
      </w:r>
      <w:proofErr w:type="spellStart"/>
      <w:r w:rsidR="00DE4D4B" w:rsidRPr="00BF4583">
        <w:rPr>
          <w:rFonts w:eastAsia="MS Mincho"/>
          <w:b/>
          <w:i/>
          <w:lang w:eastAsia="ja-JP"/>
        </w:rPr>
        <w:t>thrombectomy</w:t>
      </w:r>
      <w:proofErr w:type="spellEnd"/>
      <w:r w:rsidR="00DE4D4B" w:rsidRPr="00BF4583">
        <w:rPr>
          <w:rFonts w:eastAsia="MS Mincho"/>
          <w:b/>
          <w:i/>
          <w:lang w:eastAsia="ja-JP"/>
        </w:rPr>
        <w:t>, using stent retrieving devices</w:t>
      </w:r>
      <w:r w:rsidR="00EF34F8">
        <w:rPr>
          <w:rFonts w:eastAsia="MS Mincho"/>
          <w:b/>
          <w:i/>
          <w:lang w:eastAsia="ja-JP"/>
        </w:rPr>
        <w:t>.</w:t>
      </w:r>
    </w:p>
    <w:p w:rsidR="00B12F2E" w:rsidRPr="00EF34F8" w:rsidRDefault="005B4E4D" w:rsidP="00EF34F8">
      <w:pPr>
        <w:rPr>
          <w:b/>
          <w:i/>
        </w:rPr>
      </w:pPr>
      <w:r w:rsidRPr="002F625E">
        <w:rPr>
          <w:b/>
          <w:i/>
        </w:rPr>
        <w:t xml:space="preserve">5 landmark trials have demonstrated strong evidence for </w:t>
      </w:r>
      <w:r w:rsidR="00DE4D4B">
        <w:rPr>
          <w:b/>
          <w:i/>
        </w:rPr>
        <w:t>improved functional</w:t>
      </w:r>
      <w:r w:rsidRPr="002F625E">
        <w:rPr>
          <w:b/>
          <w:i/>
        </w:rPr>
        <w:t xml:space="preserve"> outcomes </w:t>
      </w:r>
      <w:r w:rsidR="00DE4D4B">
        <w:rPr>
          <w:b/>
          <w:i/>
        </w:rPr>
        <w:t xml:space="preserve">&amp; reduced mortality </w:t>
      </w:r>
      <w:r w:rsidRPr="002F625E">
        <w:rPr>
          <w:b/>
          <w:i/>
        </w:rPr>
        <w:t>with EVT</w:t>
      </w:r>
      <w:r w:rsidR="00EF34F8">
        <w:rPr>
          <w:b/>
          <w:i/>
        </w:rPr>
        <w:t xml:space="preserve"> </w:t>
      </w:r>
      <w:r w:rsidRPr="002F625E">
        <w:rPr>
          <w:b/>
          <w:i/>
        </w:rPr>
        <w:t xml:space="preserve">(with or without IV </w:t>
      </w:r>
      <w:proofErr w:type="spellStart"/>
      <w:r w:rsidR="00D81B49">
        <w:rPr>
          <w:b/>
          <w:i/>
        </w:rPr>
        <w:t>r</w:t>
      </w:r>
      <w:r w:rsidRPr="002F625E">
        <w:rPr>
          <w:b/>
          <w:i/>
        </w:rPr>
        <w:t>t</w:t>
      </w:r>
      <w:proofErr w:type="spellEnd"/>
      <w:r w:rsidR="00D81B49">
        <w:rPr>
          <w:b/>
          <w:i/>
        </w:rPr>
        <w:t>-</w:t>
      </w:r>
      <w:r w:rsidRPr="002F625E">
        <w:rPr>
          <w:b/>
          <w:i/>
        </w:rPr>
        <w:t>PA)</w:t>
      </w:r>
      <w:r w:rsidR="00BF4583">
        <w:rPr>
          <w:b/>
          <w:i/>
        </w:rPr>
        <w:t xml:space="preserve"> compared to standard of care with IV</w:t>
      </w:r>
      <w:r w:rsidRPr="002F625E">
        <w:rPr>
          <w:b/>
          <w:i/>
        </w:rPr>
        <w:t xml:space="preserve"> </w:t>
      </w:r>
      <w:proofErr w:type="spellStart"/>
      <w:r w:rsidR="00E059C6">
        <w:rPr>
          <w:b/>
          <w:i/>
        </w:rPr>
        <w:t>r</w:t>
      </w:r>
      <w:r w:rsidRPr="002F625E">
        <w:rPr>
          <w:b/>
          <w:i/>
        </w:rPr>
        <w:t>t</w:t>
      </w:r>
      <w:proofErr w:type="spellEnd"/>
      <w:r w:rsidR="00E059C6">
        <w:rPr>
          <w:b/>
          <w:i/>
        </w:rPr>
        <w:t>-</w:t>
      </w:r>
      <w:r w:rsidRPr="002F625E">
        <w:rPr>
          <w:b/>
          <w:i/>
        </w:rPr>
        <w:t>PA alone</w:t>
      </w:r>
      <w:r w:rsidR="000277CF">
        <w:rPr>
          <w:b/>
          <w:i/>
        </w:rPr>
        <w:t>.</w:t>
      </w:r>
      <w:r w:rsidR="00EF34F8">
        <w:rPr>
          <w:b/>
          <w:i/>
        </w:rPr>
        <w:t xml:space="preserve"> </w:t>
      </w:r>
      <w:r w:rsidR="00BF4583" w:rsidRPr="002F625E">
        <w:rPr>
          <w:b/>
          <w:i/>
        </w:rPr>
        <w:t xml:space="preserve">Benefits of </w:t>
      </w:r>
      <w:r w:rsidR="00C65843">
        <w:rPr>
          <w:b/>
          <w:i/>
        </w:rPr>
        <w:t>EVT</w:t>
      </w:r>
      <w:r w:rsidR="00D81B49">
        <w:rPr>
          <w:b/>
          <w:i/>
        </w:rPr>
        <w:t xml:space="preserve"> were</w:t>
      </w:r>
      <w:r w:rsidR="00BF4583" w:rsidRPr="002F625E">
        <w:rPr>
          <w:b/>
          <w:i/>
        </w:rPr>
        <w:t xml:space="preserve"> significantly </w:t>
      </w:r>
      <w:r w:rsidR="00BF4583">
        <w:rPr>
          <w:b/>
          <w:i/>
        </w:rPr>
        <w:t xml:space="preserve">greater in patients with small infarct core with proximal large </w:t>
      </w:r>
      <w:r w:rsidR="00BF4583" w:rsidRPr="002F625E">
        <w:rPr>
          <w:b/>
          <w:i/>
        </w:rPr>
        <w:t>arterial occlusion</w:t>
      </w:r>
      <w:r w:rsidR="00BF4583">
        <w:rPr>
          <w:b/>
          <w:i/>
        </w:rPr>
        <w:t xml:space="preserve"> in the anterior circulation, and moderate-to-good collateral circulation.</w:t>
      </w:r>
      <w:r w:rsidR="00EF34F8">
        <w:rPr>
          <w:b/>
          <w:i/>
        </w:rPr>
        <w:t xml:space="preserve"> </w:t>
      </w:r>
      <w:r w:rsidR="00DE4D4B" w:rsidRPr="00F6679E">
        <w:rPr>
          <w:rFonts w:eastAsia="MS Mincho"/>
          <w:b/>
          <w:i/>
          <w:lang w:eastAsia="ja-JP"/>
        </w:rPr>
        <w:t xml:space="preserve">As a result of the impact of these trials, the Canadian Stroke Best Practice Guidelines </w:t>
      </w:r>
      <w:r w:rsidR="00EF34F8">
        <w:rPr>
          <w:rFonts w:eastAsia="MS Mincho"/>
          <w:b/>
          <w:i/>
          <w:lang w:eastAsia="ja-JP"/>
        </w:rPr>
        <w:t xml:space="preserve">were </w:t>
      </w:r>
      <w:r w:rsidR="00DE4D4B" w:rsidRPr="00F6679E">
        <w:rPr>
          <w:rFonts w:eastAsia="MS Mincho"/>
          <w:b/>
          <w:i/>
          <w:lang w:eastAsia="ja-JP"/>
        </w:rPr>
        <w:t xml:space="preserve">revised </w:t>
      </w:r>
      <w:r w:rsidR="00F6679E" w:rsidRPr="00F6679E">
        <w:rPr>
          <w:rFonts w:eastAsia="MS Mincho"/>
          <w:b/>
          <w:i/>
          <w:lang w:eastAsia="ja-JP"/>
        </w:rPr>
        <w:t>to</w:t>
      </w:r>
      <w:r w:rsidR="00DE4D4B" w:rsidRPr="00F6679E">
        <w:rPr>
          <w:rFonts w:eastAsia="MS Mincho"/>
          <w:b/>
          <w:i/>
          <w:lang w:eastAsia="ja-JP"/>
        </w:rPr>
        <w:t xml:space="preserve"> reco</w:t>
      </w:r>
      <w:r w:rsidR="00F6679E" w:rsidRPr="00F6679E">
        <w:rPr>
          <w:rFonts w:eastAsia="MS Mincho"/>
          <w:b/>
          <w:i/>
          <w:lang w:eastAsia="ja-JP"/>
        </w:rPr>
        <w:t xml:space="preserve">mmend EVT </w:t>
      </w:r>
      <w:r w:rsidR="00DE4D4B" w:rsidRPr="00F6679E">
        <w:rPr>
          <w:rFonts w:eastAsia="MS Mincho"/>
          <w:b/>
          <w:i/>
          <w:lang w:eastAsia="ja-JP"/>
        </w:rPr>
        <w:t xml:space="preserve">for </w:t>
      </w:r>
      <w:r w:rsidR="00EF34F8">
        <w:rPr>
          <w:rFonts w:eastAsia="MS Mincho"/>
          <w:b/>
          <w:i/>
          <w:lang w:eastAsia="ja-JP"/>
        </w:rPr>
        <w:t>eligible patients</w:t>
      </w:r>
      <w:r w:rsidR="000751AE">
        <w:rPr>
          <w:rFonts w:eastAsia="MS Mincho"/>
          <w:b/>
          <w:i/>
          <w:lang w:eastAsia="ja-JP"/>
        </w:rPr>
        <w:t xml:space="preserve"> who meet select criteria</w:t>
      </w:r>
      <w:r w:rsidR="00EF34F8">
        <w:rPr>
          <w:rFonts w:eastAsia="MS Mincho"/>
          <w:b/>
          <w:i/>
          <w:lang w:eastAsia="ja-JP"/>
        </w:rPr>
        <w:t>.</w:t>
      </w:r>
    </w:p>
    <w:p w:rsidR="00F8797A" w:rsidRDefault="00F8797A">
      <w:pPr>
        <w:pStyle w:val="Heading8"/>
        <w:rPr>
          <w:rFonts w:ascii="Times New (W1)" w:hAnsi="Times New (W1)"/>
          <w:bCs/>
          <w:sz w:val="24"/>
          <w:highlight w:val="yellow"/>
        </w:rPr>
      </w:pPr>
    </w:p>
    <w:p w:rsidR="00B844FA" w:rsidRPr="00F8797A" w:rsidRDefault="00F8797A">
      <w:pPr>
        <w:pStyle w:val="Heading8"/>
        <w:rPr>
          <w:rFonts w:ascii="Times New (W1)" w:hAnsi="Times New (W1)"/>
          <w:b w:val="0"/>
          <w:bCs/>
          <w:i w:val="0"/>
          <w:sz w:val="24"/>
        </w:rPr>
      </w:pPr>
      <w:r>
        <w:rPr>
          <w:rFonts w:ascii="Times New (W1)" w:hAnsi="Times New (W1)"/>
          <w:b w:val="0"/>
          <w:bCs/>
          <w:i w:val="0"/>
          <w:sz w:val="24"/>
        </w:rPr>
        <w:t>I</w:t>
      </w:r>
      <w:r w:rsidR="005B0421" w:rsidRPr="00F8797A">
        <w:rPr>
          <w:rFonts w:ascii="Times New (W1)" w:hAnsi="Times New (W1)"/>
          <w:b w:val="0"/>
          <w:bCs/>
          <w:i w:val="0"/>
          <w:sz w:val="24"/>
        </w:rPr>
        <w:t xml:space="preserve">n certain circumstances, </w:t>
      </w:r>
      <w:proofErr w:type="spellStart"/>
      <w:r w:rsidR="005B0421" w:rsidRPr="00F8797A">
        <w:rPr>
          <w:rFonts w:ascii="Times New (W1)" w:hAnsi="Times New (W1)"/>
          <w:b w:val="0"/>
          <w:bCs/>
          <w:i w:val="0"/>
          <w:sz w:val="24"/>
        </w:rPr>
        <w:t>rt</w:t>
      </w:r>
      <w:proofErr w:type="spellEnd"/>
      <w:r w:rsidR="005B0421" w:rsidRPr="00F8797A">
        <w:rPr>
          <w:rFonts w:ascii="Times New (W1)" w:hAnsi="Times New (W1)"/>
          <w:b w:val="0"/>
          <w:bCs/>
          <w:i w:val="0"/>
          <w:sz w:val="24"/>
        </w:rPr>
        <w:t xml:space="preserve">-PA by IA route may </w:t>
      </w:r>
      <w:r>
        <w:rPr>
          <w:rFonts w:ascii="Times New (W1)" w:hAnsi="Times New (W1)"/>
          <w:b w:val="0"/>
          <w:bCs/>
          <w:i w:val="0"/>
          <w:sz w:val="24"/>
        </w:rPr>
        <w:t xml:space="preserve">continue to </w:t>
      </w:r>
      <w:r w:rsidR="005B0421" w:rsidRPr="00F8797A">
        <w:rPr>
          <w:rFonts w:ascii="Times New (W1)" w:hAnsi="Times New (W1)"/>
          <w:b w:val="0"/>
          <w:bCs/>
          <w:i w:val="0"/>
          <w:sz w:val="24"/>
        </w:rPr>
        <w:t xml:space="preserve">be utilized for large vessel occlusion in the posterior territory (e.g., basilar artery). </w:t>
      </w:r>
    </w:p>
    <w:p w:rsidR="00E059C6" w:rsidRDefault="00E059C6" w:rsidP="00EF34F8">
      <w:pPr>
        <w:pStyle w:val="Heading8"/>
        <w:rPr>
          <w:sz w:val="24"/>
          <w:u w:val="single"/>
        </w:rPr>
      </w:pPr>
    </w:p>
    <w:p w:rsidR="00B844FA" w:rsidRPr="00E059C6" w:rsidRDefault="00CA2F69" w:rsidP="00E059C6">
      <w:pPr>
        <w:pStyle w:val="Heading8"/>
        <w:rPr>
          <w:sz w:val="24"/>
          <w:u w:val="single"/>
        </w:rPr>
      </w:pPr>
      <w:r>
        <w:rPr>
          <w:sz w:val="24"/>
          <w:u w:val="single"/>
        </w:rPr>
        <w:t>Who to</w:t>
      </w:r>
      <w:r w:rsidR="00F6679E">
        <w:rPr>
          <w:sz w:val="24"/>
          <w:u w:val="single"/>
        </w:rPr>
        <w:t xml:space="preserve"> decide</w:t>
      </w:r>
      <w:r w:rsidR="00B844FA">
        <w:rPr>
          <w:sz w:val="24"/>
          <w:u w:val="single"/>
        </w:rPr>
        <w:t xml:space="preserve"> use</w:t>
      </w:r>
      <w:r>
        <w:rPr>
          <w:sz w:val="24"/>
          <w:u w:val="single"/>
        </w:rPr>
        <w:t xml:space="preserve"> of</w:t>
      </w:r>
      <w:r w:rsidR="00B844FA">
        <w:rPr>
          <w:sz w:val="24"/>
          <w:u w:val="single"/>
        </w:rPr>
        <w:t xml:space="preserve"> </w:t>
      </w:r>
      <w:proofErr w:type="spellStart"/>
      <w:r w:rsidR="00B844FA">
        <w:rPr>
          <w:sz w:val="24"/>
          <w:u w:val="single"/>
        </w:rPr>
        <w:t>rt</w:t>
      </w:r>
      <w:proofErr w:type="spellEnd"/>
      <w:r w:rsidR="00B844FA">
        <w:rPr>
          <w:sz w:val="24"/>
          <w:u w:val="single"/>
        </w:rPr>
        <w:t>-PA</w:t>
      </w:r>
      <w:r w:rsidR="00F6679E">
        <w:rPr>
          <w:sz w:val="24"/>
          <w:u w:val="single"/>
        </w:rPr>
        <w:t xml:space="preserve"> +/-EVT</w:t>
      </w:r>
      <w:r w:rsidR="00B844FA">
        <w:rPr>
          <w:sz w:val="24"/>
          <w:u w:val="single"/>
        </w:rPr>
        <w:t xml:space="preserve"> for the treatment of ischemic stroke?</w:t>
      </w:r>
    </w:p>
    <w:p w:rsidR="00B844FA" w:rsidRPr="009614C3" w:rsidRDefault="00B844FA" w:rsidP="00EF34F8">
      <w:pPr>
        <w:suppressAutoHyphens/>
        <w:rPr>
          <w:bCs/>
        </w:rPr>
      </w:pPr>
      <w:r w:rsidRPr="00B4002E">
        <w:t xml:space="preserve">The decision to administer </w:t>
      </w:r>
      <w:proofErr w:type="spellStart"/>
      <w:r w:rsidRPr="00CC03AC">
        <w:t>rt</w:t>
      </w:r>
      <w:proofErr w:type="spellEnd"/>
      <w:r w:rsidRPr="00CC03AC">
        <w:t>-PA</w:t>
      </w:r>
      <w:r w:rsidR="005411DC" w:rsidRPr="00CC03AC">
        <w:t xml:space="preserve"> </w:t>
      </w:r>
      <w:r w:rsidRPr="00CC03AC">
        <w:t>is made by the treating Neurologist.</w:t>
      </w:r>
      <w:r w:rsidRPr="00CC03AC">
        <w:rPr>
          <w:b/>
          <w:bCs/>
        </w:rPr>
        <w:t xml:space="preserve"> </w:t>
      </w:r>
      <w:r w:rsidR="009614C3" w:rsidRPr="00CC03AC">
        <w:rPr>
          <w:bCs/>
        </w:rPr>
        <w:t xml:space="preserve">The decision for EVT with or without </w:t>
      </w:r>
      <w:proofErr w:type="spellStart"/>
      <w:r w:rsidR="009614C3" w:rsidRPr="00CC03AC">
        <w:rPr>
          <w:bCs/>
        </w:rPr>
        <w:t>rt</w:t>
      </w:r>
      <w:proofErr w:type="spellEnd"/>
      <w:r w:rsidR="009614C3" w:rsidRPr="00CC03AC">
        <w:rPr>
          <w:bCs/>
        </w:rPr>
        <w:t xml:space="preserve">-PA is made jointly between the treating Neurologist and the Interventional </w:t>
      </w:r>
      <w:proofErr w:type="gramStart"/>
      <w:r w:rsidR="009614C3" w:rsidRPr="00CC03AC">
        <w:rPr>
          <w:bCs/>
        </w:rPr>
        <w:t>Radiologist.</w:t>
      </w:r>
      <w:proofErr w:type="gramEnd"/>
      <w:r w:rsidR="009614C3">
        <w:rPr>
          <w:bCs/>
        </w:rPr>
        <w:t xml:space="preserve"> </w:t>
      </w:r>
    </w:p>
    <w:p w:rsidR="000751AE" w:rsidRDefault="000751AE" w:rsidP="000751AE">
      <w:pPr>
        <w:suppressAutoHyphens/>
      </w:pPr>
      <w:r>
        <w:t xml:space="preserve">When a potential candidate for treatment with </w:t>
      </w:r>
      <w:proofErr w:type="spellStart"/>
      <w:r>
        <w:t>rt</w:t>
      </w:r>
      <w:proofErr w:type="spellEnd"/>
      <w:r>
        <w:t xml:space="preserve">-PA+/-EVT is identified in the Emergency Department, the Charge Nurse </w:t>
      </w:r>
      <w:r>
        <w:rPr>
          <w:b/>
          <w:bCs/>
          <w:i/>
          <w:iCs/>
          <w:u w:val="single"/>
        </w:rPr>
        <w:t>must</w:t>
      </w:r>
      <w:r>
        <w:rPr>
          <w:b/>
          <w:bCs/>
          <w:i/>
          <w:iCs/>
        </w:rPr>
        <w:t xml:space="preserve"> </w:t>
      </w:r>
      <w:r>
        <w:t xml:space="preserve">contact the KGH Switchboard to activate the “Stroke Team”. </w:t>
      </w:r>
    </w:p>
    <w:p w:rsidR="00B844FA" w:rsidRDefault="00B844FA" w:rsidP="00EF34F8">
      <w:r>
        <w:t xml:space="preserve">The physician who prescribes </w:t>
      </w:r>
      <w:proofErr w:type="spellStart"/>
      <w:r>
        <w:t>rt</w:t>
      </w:r>
      <w:proofErr w:type="spellEnd"/>
      <w:r>
        <w:t xml:space="preserve">-PA must provide a </w:t>
      </w:r>
      <w:r>
        <w:rPr>
          <w:b/>
          <w:i/>
          <w:iCs/>
          <w:u w:val="single"/>
        </w:rPr>
        <w:t>written order</w:t>
      </w:r>
      <w:r>
        <w:t xml:space="preserve"> to staff. </w:t>
      </w:r>
      <w:r w:rsidR="00D81B49">
        <w:t xml:space="preserve"> </w:t>
      </w:r>
    </w:p>
    <w:p w:rsidR="00B844FA" w:rsidRDefault="00B844FA"/>
    <w:p w:rsidR="00B844FA" w:rsidRDefault="00B844FA" w:rsidP="00EF34F8">
      <w:pPr>
        <w:pStyle w:val="Heading2"/>
        <w:rPr>
          <w:i/>
          <w:iCs/>
          <w:color w:val="000000"/>
          <w:u w:val="single"/>
        </w:rPr>
      </w:pPr>
      <w:r>
        <w:rPr>
          <w:i/>
          <w:iCs/>
          <w:color w:val="000000"/>
          <w:u w:val="single"/>
        </w:rPr>
        <w:t xml:space="preserve">Essential investigations prior to the use of </w:t>
      </w:r>
      <w:r w:rsidR="0019547F">
        <w:rPr>
          <w:i/>
          <w:iCs/>
          <w:color w:val="000000"/>
          <w:u w:val="single"/>
        </w:rPr>
        <w:t xml:space="preserve">IV </w:t>
      </w:r>
      <w:proofErr w:type="spellStart"/>
      <w:r>
        <w:rPr>
          <w:i/>
          <w:iCs/>
          <w:color w:val="000000"/>
          <w:u w:val="single"/>
        </w:rPr>
        <w:t>rt</w:t>
      </w:r>
      <w:proofErr w:type="spellEnd"/>
      <w:r>
        <w:rPr>
          <w:i/>
          <w:iCs/>
          <w:color w:val="000000"/>
          <w:u w:val="single"/>
        </w:rPr>
        <w:t>-PA</w:t>
      </w:r>
      <w:r w:rsidR="00211990">
        <w:rPr>
          <w:i/>
          <w:iCs/>
          <w:color w:val="000000"/>
          <w:u w:val="single"/>
        </w:rPr>
        <w:t xml:space="preserve"> (+/-EVT)</w:t>
      </w:r>
      <w:r>
        <w:rPr>
          <w:i/>
          <w:iCs/>
          <w:color w:val="000000"/>
          <w:u w:val="single"/>
        </w:rPr>
        <w:t xml:space="preserve"> </w:t>
      </w:r>
    </w:p>
    <w:p w:rsidR="00F8797A" w:rsidRPr="00F8797A" w:rsidRDefault="00AE30CF" w:rsidP="00F8797A">
      <w:pPr>
        <w:numPr>
          <w:ilvl w:val="0"/>
          <w:numId w:val="31"/>
        </w:numPr>
      </w:pPr>
      <w:r>
        <w:t>Blood wor</w:t>
      </w:r>
      <w:r w:rsidR="005E384D">
        <w:t>k</w:t>
      </w:r>
      <w:r w:rsidR="00627958">
        <w:t>-use tubes in ASP package</w:t>
      </w:r>
      <w:r w:rsidR="005E384D">
        <w:t xml:space="preserve"> </w:t>
      </w:r>
      <w:r w:rsidR="00F95C14">
        <w:t>(</w:t>
      </w:r>
      <w:r w:rsidR="00F95C14" w:rsidRPr="00F8797A">
        <w:rPr>
          <w:b/>
        </w:rPr>
        <w:t xml:space="preserve">Not </w:t>
      </w:r>
      <w:r w:rsidR="00211990" w:rsidRPr="00F8797A">
        <w:rPr>
          <w:b/>
        </w:rPr>
        <w:t>M</w:t>
      </w:r>
      <w:r w:rsidR="00F95C14" w:rsidRPr="00F8797A">
        <w:rPr>
          <w:b/>
        </w:rPr>
        <w:t>andatory</w:t>
      </w:r>
      <w:r w:rsidRPr="00F8797A">
        <w:rPr>
          <w:b/>
        </w:rPr>
        <w:t xml:space="preserve"> to wait for </w:t>
      </w:r>
      <w:r w:rsidR="00F6679E" w:rsidRPr="00F8797A">
        <w:rPr>
          <w:b/>
        </w:rPr>
        <w:t xml:space="preserve">all </w:t>
      </w:r>
      <w:r w:rsidRPr="00F8797A">
        <w:rPr>
          <w:b/>
        </w:rPr>
        <w:t xml:space="preserve">results to make decision for </w:t>
      </w:r>
      <w:r w:rsidR="005B0421" w:rsidRPr="00F8797A">
        <w:rPr>
          <w:b/>
        </w:rPr>
        <w:t xml:space="preserve">IV </w:t>
      </w:r>
      <w:proofErr w:type="spellStart"/>
      <w:r w:rsidR="005B0421" w:rsidRPr="00F8797A">
        <w:rPr>
          <w:b/>
        </w:rPr>
        <w:t>rt</w:t>
      </w:r>
      <w:proofErr w:type="spellEnd"/>
      <w:r w:rsidR="005B0421" w:rsidRPr="00F8797A">
        <w:rPr>
          <w:b/>
        </w:rPr>
        <w:t>-P</w:t>
      </w:r>
      <w:r w:rsidR="00B80208" w:rsidRPr="00F8797A">
        <w:rPr>
          <w:b/>
        </w:rPr>
        <w:t>A+/-EVT</w:t>
      </w:r>
      <w:r w:rsidR="00F8797A">
        <w:rPr>
          <w:b/>
        </w:rPr>
        <w:t xml:space="preserve">; decision at discretion of treating Neurologist) </w:t>
      </w:r>
    </w:p>
    <w:p w:rsidR="00F8797A" w:rsidRDefault="00B844FA" w:rsidP="00F8797A">
      <w:pPr>
        <w:numPr>
          <w:ilvl w:val="1"/>
          <w:numId w:val="31"/>
        </w:numPr>
      </w:pPr>
      <w:r>
        <w:t>Routine hematology (include platelets)</w:t>
      </w:r>
    </w:p>
    <w:p w:rsidR="00F8797A" w:rsidRDefault="00B0221B" w:rsidP="00F8797A">
      <w:pPr>
        <w:numPr>
          <w:ilvl w:val="1"/>
          <w:numId w:val="31"/>
        </w:numPr>
      </w:pPr>
      <w:r>
        <w:t>PT/</w:t>
      </w:r>
      <w:r w:rsidR="00B844FA">
        <w:t xml:space="preserve"> INR</w:t>
      </w:r>
      <w:r>
        <w:t>, PTT</w:t>
      </w:r>
    </w:p>
    <w:p w:rsidR="00F8797A" w:rsidRDefault="00B844FA" w:rsidP="00F8797A">
      <w:pPr>
        <w:numPr>
          <w:ilvl w:val="1"/>
          <w:numId w:val="31"/>
        </w:numPr>
      </w:pPr>
      <w:r>
        <w:t>Electrolytes, BUN, creatinine, glucose</w:t>
      </w:r>
      <w:r w:rsidR="00CA2F69">
        <w:t>, t</w:t>
      </w:r>
      <w:r w:rsidR="00992E33">
        <w:t>roponin</w:t>
      </w:r>
    </w:p>
    <w:p w:rsidR="00F8797A" w:rsidRDefault="00992E33" w:rsidP="00F8797A">
      <w:pPr>
        <w:numPr>
          <w:ilvl w:val="1"/>
          <w:numId w:val="31"/>
        </w:numPr>
      </w:pPr>
      <w:proofErr w:type="spellStart"/>
      <w:r>
        <w:t>ßHCG</w:t>
      </w:r>
      <w:proofErr w:type="spellEnd"/>
      <w:r>
        <w:t xml:space="preserve"> (pregnancy test) if indicated</w:t>
      </w:r>
    </w:p>
    <w:p w:rsidR="00B844FA" w:rsidRPr="00F8797A" w:rsidRDefault="00B844FA" w:rsidP="00F8797A">
      <w:pPr>
        <w:numPr>
          <w:ilvl w:val="1"/>
          <w:numId w:val="31"/>
        </w:numPr>
      </w:pPr>
      <w:r w:rsidRPr="00F8797A">
        <w:t xml:space="preserve">Type </w:t>
      </w:r>
      <w:r w:rsidRPr="00CC03AC">
        <w:t xml:space="preserve">and </w:t>
      </w:r>
      <w:r w:rsidR="009614C3" w:rsidRPr="00CC03AC">
        <w:t>Hold</w:t>
      </w:r>
      <w:r w:rsidRPr="00CC03AC">
        <w:t xml:space="preserve"> 2 units</w:t>
      </w:r>
      <w:r w:rsidR="00B80208" w:rsidRPr="00F8797A">
        <w:t xml:space="preserve"> </w:t>
      </w:r>
    </w:p>
    <w:p w:rsidR="00B0221B" w:rsidRDefault="00B844FA" w:rsidP="00D30B44">
      <w:pPr>
        <w:numPr>
          <w:ilvl w:val="0"/>
          <w:numId w:val="31"/>
        </w:numPr>
      </w:pPr>
      <w:r>
        <w:t>CT head without contrast</w:t>
      </w:r>
      <w:r w:rsidR="00B80208">
        <w:t xml:space="preserve"> +/- CT</w:t>
      </w:r>
      <w:r w:rsidR="00CA2F69">
        <w:t xml:space="preserve"> </w:t>
      </w:r>
      <w:r w:rsidR="00B80208">
        <w:t>A</w:t>
      </w:r>
      <w:r w:rsidR="00CA2F69">
        <w:t>ngiography (CTA)</w:t>
      </w:r>
      <w:r w:rsidR="0028777A">
        <w:t xml:space="preserve">. For patients </w:t>
      </w:r>
      <w:r w:rsidR="00F8797A">
        <w:t>who could be</w:t>
      </w:r>
      <w:r w:rsidR="00FB6ED0">
        <w:t xml:space="preserve"> </w:t>
      </w:r>
      <w:r w:rsidR="00F8797A">
        <w:t xml:space="preserve">eligible for EVT, </w:t>
      </w:r>
      <w:r w:rsidR="0028777A">
        <w:t xml:space="preserve">multiphase CTA is required. </w:t>
      </w:r>
      <w:r w:rsidR="00211990">
        <w:t xml:space="preserve"> </w:t>
      </w:r>
    </w:p>
    <w:p w:rsidR="0028777A" w:rsidRDefault="0028777A" w:rsidP="00AE30CF">
      <w:pPr>
        <w:rPr>
          <w:color w:val="000000"/>
        </w:rPr>
      </w:pPr>
    </w:p>
    <w:p w:rsidR="00D30B44" w:rsidRDefault="00D30B44" w:rsidP="004916E9">
      <w:pPr>
        <w:ind w:left="-709"/>
        <w:rPr>
          <w:b/>
          <w:color w:val="000000"/>
        </w:rPr>
      </w:pPr>
    </w:p>
    <w:p w:rsidR="00B844FA" w:rsidRPr="0024291D" w:rsidRDefault="00B844FA" w:rsidP="004916E9">
      <w:pPr>
        <w:ind w:left="-709"/>
        <w:rPr>
          <w:b/>
        </w:rPr>
      </w:pPr>
      <w:r w:rsidRPr="0024291D">
        <w:rPr>
          <w:b/>
          <w:color w:val="000000"/>
        </w:rPr>
        <w:lastRenderedPageBreak/>
        <w:t xml:space="preserve">Table 1:  Inclusion and Exclusion Criteria for IV </w:t>
      </w:r>
      <w:proofErr w:type="spellStart"/>
      <w:r w:rsidRPr="0024291D">
        <w:rPr>
          <w:b/>
          <w:color w:val="000000"/>
        </w:rPr>
        <w:t>rt</w:t>
      </w:r>
      <w:proofErr w:type="spellEnd"/>
      <w:r w:rsidRPr="0024291D">
        <w:rPr>
          <w:b/>
          <w:color w:val="000000"/>
        </w:rPr>
        <w:t>-PA</w:t>
      </w:r>
      <w:r w:rsidRPr="0024291D">
        <w:rPr>
          <w:b/>
          <w:color w:val="000000"/>
        </w:rPr>
        <w:tab/>
      </w:r>
      <w:r w:rsidRPr="0024291D">
        <w:rPr>
          <w:b/>
          <w:color w:val="000000"/>
        </w:rPr>
        <w:tab/>
      </w:r>
      <w:r w:rsidRPr="0024291D">
        <w:rPr>
          <w:b/>
          <w:color w:val="000000"/>
        </w:rPr>
        <w:tab/>
      </w:r>
      <w:r w:rsidRPr="0024291D">
        <w:rPr>
          <w:b/>
          <w:color w:val="000000"/>
        </w:rPr>
        <w:tab/>
      </w:r>
      <w:r w:rsidRPr="0024291D">
        <w:rPr>
          <w:b/>
          <w:color w:val="000000"/>
        </w:rPr>
        <w:tab/>
      </w:r>
      <w:r w:rsidRPr="0024291D">
        <w:rPr>
          <w:b/>
          <w:color w:val="000000"/>
        </w:rPr>
        <w:tab/>
      </w:r>
      <w:r w:rsidRPr="0024291D">
        <w:rPr>
          <w:b/>
          <w:color w:val="000000"/>
        </w:rPr>
        <w:tab/>
      </w:r>
    </w:p>
    <w:tbl>
      <w:tblPr>
        <w:tblW w:w="1098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420"/>
        <w:gridCol w:w="3780"/>
        <w:gridCol w:w="3780"/>
      </w:tblGrid>
      <w:tr w:rsidR="00B844FA">
        <w:trPr>
          <w:tblHeader/>
        </w:trPr>
        <w:tc>
          <w:tcPr>
            <w:tcW w:w="3420" w:type="dxa"/>
            <w:shd w:val="clear" w:color="auto" w:fill="D9D9D9"/>
          </w:tcPr>
          <w:p w:rsidR="00B844FA" w:rsidRDefault="00B844FA">
            <w:pPr>
              <w:pStyle w:val="Heading1"/>
              <w:rPr>
                <w:color w:val="000000"/>
              </w:rPr>
            </w:pPr>
            <w:r>
              <w:rPr>
                <w:color w:val="000000"/>
              </w:rPr>
              <w:t>Inclusion criteria</w:t>
            </w:r>
          </w:p>
        </w:tc>
        <w:tc>
          <w:tcPr>
            <w:tcW w:w="3780" w:type="dxa"/>
            <w:shd w:val="clear" w:color="auto" w:fill="D9D9D9"/>
          </w:tcPr>
          <w:p w:rsidR="00B844FA" w:rsidRDefault="00B844FA">
            <w:pPr>
              <w:suppressAutoHyphens/>
              <w:rPr>
                <w:b/>
                <w:bCs/>
                <w:color w:val="000000"/>
              </w:rPr>
            </w:pPr>
            <w:r>
              <w:rPr>
                <w:b/>
                <w:bCs/>
                <w:color w:val="000000"/>
              </w:rPr>
              <w:t>Cautionary inclusion</w:t>
            </w:r>
          </w:p>
        </w:tc>
        <w:tc>
          <w:tcPr>
            <w:tcW w:w="3780" w:type="dxa"/>
            <w:shd w:val="clear" w:color="auto" w:fill="D9D9D9"/>
          </w:tcPr>
          <w:p w:rsidR="00B844FA" w:rsidRDefault="00B844FA">
            <w:pPr>
              <w:pStyle w:val="Heading1"/>
              <w:rPr>
                <w:color w:val="000000"/>
              </w:rPr>
            </w:pPr>
            <w:r>
              <w:rPr>
                <w:color w:val="000000"/>
              </w:rPr>
              <w:t>Exclusion criteria</w:t>
            </w:r>
          </w:p>
        </w:tc>
      </w:tr>
      <w:tr w:rsidR="00B844FA">
        <w:trPr>
          <w:trHeight w:val="7298"/>
        </w:trPr>
        <w:tc>
          <w:tcPr>
            <w:tcW w:w="3420" w:type="dxa"/>
          </w:tcPr>
          <w:p w:rsidR="00B844FA" w:rsidRPr="00D12268" w:rsidRDefault="00B844FA" w:rsidP="005552E4">
            <w:pPr>
              <w:numPr>
                <w:ilvl w:val="0"/>
                <w:numId w:val="2"/>
              </w:numPr>
              <w:tabs>
                <w:tab w:val="clear" w:pos="720"/>
                <w:tab w:val="num" w:pos="432"/>
              </w:tabs>
              <w:suppressAutoHyphens/>
              <w:ind w:left="432" w:hanging="432"/>
              <w:rPr>
                <w:color w:val="000000"/>
              </w:rPr>
            </w:pPr>
            <w:r w:rsidRPr="00D12268">
              <w:rPr>
                <w:color w:val="000000"/>
              </w:rPr>
              <w:t>Diagnosis of ischemic stroke causing measurable neurological deficit.</w:t>
            </w:r>
          </w:p>
          <w:p w:rsidR="00B844FA" w:rsidRPr="00D12268" w:rsidRDefault="00B844FA" w:rsidP="005552E4">
            <w:pPr>
              <w:numPr>
                <w:ilvl w:val="0"/>
                <w:numId w:val="2"/>
              </w:numPr>
              <w:tabs>
                <w:tab w:val="clear" w:pos="720"/>
                <w:tab w:val="num" w:pos="432"/>
              </w:tabs>
              <w:suppressAutoHyphens/>
              <w:ind w:left="432" w:hanging="432"/>
              <w:rPr>
                <w:color w:val="000000"/>
              </w:rPr>
            </w:pPr>
            <w:r w:rsidRPr="00D12268">
              <w:rPr>
                <w:color w:val="000000"/>
              </w:rPr>
              <w:t>Deficit severity that, should it persist, would lead to a significant compromise of the patient’s quality of life</w:t>
            </w:r>
          </w:p>
          <w:p w:rsidR="00B844FA" w:rsidRPr="00D12268" w:rsidRDefault="00B844FA" w:rsidP="005552E4">
            <w:pPr>
              <w:numPr>
                <w:ilvl w:val="0"/>
                <w:numId w:val="2"/>
              </w:numPr>
              <w:tabs>
                <w:tab w:val="clear" w:pos="720"/>
                <w:tab w:val="num" w:pos="432"/>
              </w:tabs>
              <w:suppressAutoHyphens/>
              <w:ind w:left="432" w:hanging="432"/>
              <w:rPr>
                <w:color w:val="000000"/>
              </w:rPr>
            </w:pPr>
            <w:r w:rsidRPr="00D12268">
              <w:rPr>
                <w:color w:val="000000"/>
              </w:rPr>
              <w:t xml:space="preserve">Time of the onset must be reliably known, either from the patient, or a credible witness.  </w:t>
            </w:r>
          </w:p>
          <w:p w:rsidR="00B844FA" w:rsidRPr="00D12268" w:rsidRDefault="00B844FA" w:rsidP="005552E4">
            <w:pPr>
              <w:numPr>
                <w:ilvl w:val="0"/>
                <w:numId w:val="2"/>
              </w:numPr>
              <w:tabs>
                <w:tab w:val="clear" w:pos="720"/>
                <w:tab w:val="num" w:pos="432"/>
              </w:tabs>
              <w:suppressAutoHyphens/>
              <w:ind w:left="432" w:hanging="432"/>
              <w:rPr>
                <w:color w:val="000000"/>
              </w:rPr>
            </w:pPr>
            <w:r w:rsidRPr="00D12268">
              <w:rPr>
                <w:color w:val="000000"/>
              </w:rPr>
              <w:t xml:space="preserve">Duration of the stroke from the time of onset, to the beginning of administration of IV </w:t>
            </w:r>
            <w:proofErr w:type="spellStart"/>
            <w:r w:rsidRPr="00D12268">
              <w:rPr>
                <w:color w:val="000000"/>
              </w:rPr>
              <w:t>rt</w:t>
            </w:r>
            <w:proofErr w:type="spellEnd"/>
            <w:r w:rsidR="009F5AC1" w:rsidRPr="00D12268">
              <w:rPr>
                <w:color w:val="000000"/>
              </w:rPr>
              <w:t>-</w:t>
            </w:r>
            <w:r w:rsidRPr="00D12268">
              <w:rPr>
                <w:color w:val="000000"/>
              </w:rPr>
              <w:t xml:space="preserve">PA, must be less than </w:t>
            </w:r>
            <w:r w:rsidR="00DA23CA" w:rsidRPr="00D12268">
              <w:rPr>
                <w:b/>
                <w:color w:val="000000"/>
              </w:rPr>
              <w:t>4.5</w:t>
            </w:r>
            <w:r w:rsidRPr="00D12268">
              <w:rPr>
                <w:b/>
                <w:bCs/>
                <w:color w:val="000000"/>
              </w:rPr>
              <w:t xml:space="preserve"> hours </w:t>
            </w:r>
            <w:r w:rsidRPr="00D12268">
              <w:rPr>
                <w:color w:val="000000"/>
              </w:rPr>
              <w:t>(including the time required to complete all essential investigations).</w:t>
            </w:r>
            <w:r w:rsidR="000277CF">
              <w:rPr>
                <w:color w:val="000000"/>
              </w:rPr>
              <w:t xml:space="preserve"> </w:t>
            </w:r>
          </w:p>
          <w:p w:rsidR="00A555D5" w:rsidRDefault="00B844FA" w:rsidP="005552E4">
            <w:pPr>
              <w:numPr>
                <w:ilvl w:val="0"/>
                <w:numId w:val="2"/>
              </w:numPr>
              <w:tabs>
                <w:tab w:val="clear" w:pos="720"/>
                <w:tab w:val="num" w:pos="432"/>
              </w:tabs>
              <w:suppressAutoHyphens/>
              <w:ind w:left="432" w:hanging="432"/>
              <w:rPr>
                <w:color w:val="000000"/>
              </w:rPr>
            </w:pPr>
            <w:r w:rsidRPr="00D12268">
              <w:rPr>
                <w:color w:val="000000"/>
              </w:rPr>
              <w:t xml:space="preserve">If receiving heparin in the previous 48 hours, </w:t>
            </w:r>
            <w:proofErr w:type="spellStart"/>
            <w:r w:rsidRPr="00D12268">
              <w:rPr>
                <w:color w:val="000000"/>
              </w:rPr>
              <w:t>aPTT</w:t>
            </w:r>
            <w:proofErr w:type="spellEnd"/>
            <w:r w:rsidRPr="00D12268">
              <w:rPr>
                <w:color w:val="000000"/>
              </w:rPr>
              <w:t xml:space="preserve"> must be in the normal range</w:t>
            </w:r>
            <w:r w:rsidR="005E384D">
              <w:rPr>
                <w:color w:val="000000"/>
              </w:rPr>
              <w:t>.</w:t>
            </w:r>
          </w:p>
          <w:p w:rsidR="00B844FA" w:rsidRPr="00A555D5" w:rsidRDefault="00B844FA" w:rsidP="005552E4">
            <w:pPr>
              <w:numPr>
                <w:ilvl w:val="0"/>
                <w:numId w:val="2"/>
              </w:numPr>
              <w:tabs>
                <w:tab w:val="clear" w:pos="720"/>
                <w:tab w:val="num" w:pos="432"/>
              </w:tabs>
              <w:suppressAutoHyphens/>
              <w:ind w:left="432" w:hanging="432"/>
              <w:rPr>
                <w:color w:val="000000"/>
              </w:rPr>
            </w:pPr>
            <w:r w:rsidRPr="00A555D5">
              <w:rPr>
                <w:color w:val="000000"/>
              </w:rPr>
              <w:t>Informed verbal consent obtained from the patient, or substitute decision maker</w:t>
            </w:r>
            <w:r w:rsidR="00BA7A56" w:rsidRPr="00A555D5">
              <w:rPr>
                <w:color w:val="000000"/>
              </w:rPr>
              <w:t>.</w:t>
            </w:r>
            <w:r w:rsidRPr="00A555D5">
              <w:rPr>
                <w:color w:val="000000"/>
              </w:rPr>
              <w:t xml:space="preserve"> </w:t>
            </w:r>
          </w:p>
          <w:p w:rsidR="00736C2A" w:rsidRPr="00D12268" w:rsidRDefault="00736C2A" w:rsidP="00BF4583">
            <w:pPr>
              <w:tabs>
                <w:tab w:val="num" w:pos="432"/>
              </w:tabs>
              <w:suppressAutoHyphens/>
              <w:ind w:left="432"/>
              <w:rPr>
                <w:color w:val="000000"/>
              </w:rPr>
            </w:pPr>
            <w:r>
              <w:rPr>
                <w:color w:val="000000"/>
              </w:rPr>
              <w:t xml:space="preserve"> </w:t>
            </w:r>
          </w:p>
        </w:tc>
        <w:tc>
          <w:tcPr>
            <w:tcW w:w="3780" w:type="dxa"/>
          </w:tcPr>
          <w:p w:rsidR="00B844FA" w:rsidRPr="00D12268" w:rsidRDefault="00B844FA" w:rsidP="005552E4">
            <w:pPr>
              <w:numPr>
                <w:ilvl w:val="0"/>
                <w:numId w:val="4"/>
              </w:numPr>
              <w:suppressAutoHyphens/>
              <w:rPr>
                <w:color w:val="000000"/>
              </w:rPr>
            </w:pPr>
            <w:r w:rsidRPr="00D12268">
              <w:rPr>
                <w:color w:val="000000"/>
              </w:rPr>
              <w:t>Myocardial infarction in previous three months</w:t>
            </w:r>
            <w:r w:rsidR="005E384D">
              <w:rPr>
                <w:color w:val="000000"/>
              </w:rPr>
              <w:t>.</w:t>
            </w:r>
          </w:p>
          <w:p w:rsidR="00B844FA" w:rsidRPr="00D12268" w:rsidRDefault="00B844FA" w:rsidP="005552E4">
            <w:pPr>
              <w:numPr>
                <w:ilvl w:val="0"/>
                <w:numId w:val="4"/>
              </w:numPr>
              <w:rPr>
                <w:rFonts w:ascii="Times New (W1)" w:hAnsi="Times New (W1)"/>
                <w:color w:val="000000"/>
              </w:rPr>
            </w:pPr>
            <w:r w:rsidRPr="00D12268">
              <w:rPr>
                <w:rFonts w:ascii="Times New (W1)" w:hAnsi="Times New (W1)"/>
                <w:color w:val="000000"/>
              </w:rPr>
              <w:t>Seizure at onset of stroke (this relative contra-indication is intended to prevent treatment of patients with a post-ictal deficit, or with seizure due to some other CNS lesion that precludes thrombolytic therapy.  If rapid diagnosis of vascular occlusion can be made, treatment may be considered).</w:t>
            </w:r>
          </w:p>
          <w:p w:rsidR="00B844FA" w:rsidRPr="00D12268" w:rsidRDefault="00B844FA" w:rsidP="005552E4">
            <w:pPr>
              <w:numPr>
                <w:ilvl w:val="0"/>
                <w:numId w:val="4"/>
              </w:numPr>
            </w:pPr>
            <w:r w:rsidRPr="00D12268">
              <w:rPr>
                <w:rFonts w:ascii="Times New (W1)" w:hAnsi="Times New (W1)"/>
                <w:color w:val="000000"/>
              </w:rPr>
              <w:t>History of intracranial hemorrhage</w:t>
            </w:r>
            <w:r w:rsidR="005E384D">
              <w:rPr>
                <w:rFonts w:ascii="Times New (W1)" w:hAnsi="Times New (W1)"/>
                <w:color w:val="000000"/>
              </w:rPr>
              <w:t>.</w:t>
            </w:r>
          </w:p>
          <w:p w:rsidR="00B844FA" w:rsidRPr="00D12268" w:rsidRDefault="00B844FA" w:rsidP="005552E4">
            <w:pPr>
              <w:numPr>
                <w:ilvl w:val="0"/>
                <w:numId w:val="4"/>
              </w:numPr>
              <w:rPr>
                <w:color w:val="000000"/>
              </w:rPr>
            </w:pPr>
            <w:r w:rsidRPr="00D12268">
              <w:rPr>
                <w:rFonts w:ascii="Times New (W1)" w:hAnsi="Times New (W1)"/>
                <w:color w:val="000000"/>
              </w:rPr>
              <w:t>Age less than 18 years</w:t>
            </w:r>
            <w:r w:rsidR="00BF4583">
              <w:rPr>
                <w:rFonts w:ascii="Times New (W1)" w:hAnsi="Times New (W1)"/>
                <w:color w:val="000000"/>
              </w:rPr>
              <w:t xml:space="preserve"> </w:t>
            </w:r>
            <w:r w:rsidRPr="00D12268">
              <w:rPr>
                <w:rFonts w:ascii="Times New (W1)" w:hAnsi="Times New (W1)"/>
                <w:color w:val="000000"/>
              </w:rPr>
              <w:t>(pediatric consultation recommended)</w:t>
            </w:r>
            <w:r w:rsidR="005E384D">
              <w:rPr>
                <w:rFonts w:ascii="Times New (W1)" w:hAnsi="Times New (W1)"/>
                <w:color w:val="000000"/>
              </w:rPr>
              <w:t>.</w:t>
            </w:r>
          </w:p>
          <w:p w:rsidR="00B844FA" w:rsidRPr="00D12268" w:rsidRDefault="00B844FA" w:rsidP="005552E4">
            <w:pPr>
              <w:numPr>
                <w:ilvl w:val="0"/>
                <w:numId w:val="4"/>
              </w:numPr>
              <w:rPr>
                <w:color w:val="000000"/>
              </w:rPr>
            </w:pPr>
            <w:r w:rsidRPr="00D12268">
              <w:rPr>
                <w:rFonts w:ascii="Times New (W1)" w:hAnsi="Times New (W1)"/>
                <w:color w:val="000000"/>
              </w:rPr>
              <w:t>Major deficit (NIHSS score greater than 22)</w:t>
            </w:r>
            <w:r w:rsidR="005E384D">
              <w:rPr>
                <w:rFonts w:ascii="Times New (W1)" w:hAnsi="Times New (W1)"/>
                <w:color w:val="000000"/>
              </w:rPr>
              <w:t>.</w:t>
            </w:r>
          </w:p>
          <w:p w:rsidR="00B844FA" w:rsidRPr="00D12268" w:rsidRDefault="00B844FA" w:rsidP="005552E4">
            <w:pPr>
              <w:numPr>
                <w:ilvl w:val="0"/>
                <w:numId w:val="4"/>
              </w:numPr>
              <w:rPr>
                <w:color w:val="000000"/>
              </w:rPr>
            </w:pPr>
            <w:r w:rsidRPr="00D12268">
              <w:rPr>
                <w:rFonts w:ascii="Times New (W1)" w:hAnsi="Times New (W1)"/>
                <w:color w:val="000000"/>
              </w:rPr>
              <w:t xml:space="preserve">CT shows </w:t>
            </w:r>
            <w:proofErr w:type="spellStart"/>
            <w:r w:rsidRPr="00D12268">
              <w:rPr>
                <w:rFonts w:ascii="Times New (W1)" w:hAnsi="Times New (W1)"/>
                <w:color w:val="000000"/>
              </w:rPr>
              <w:t>hypodensity</w:t>
            </w:r>
            <w:proofErr w:type="spellEnd"/>
            <w:r w:rsidRPr="00D12268">
              <w:rPr>
                <w:rFonts w:ascii="Times New (W1)" w:hAnsi="Times New (W1)"/>
                <w:color w:val="000000"/>
              </w:rPr>
              <w:t xml:space="preserve"> greater than 1/3 of the hemisphere</w:t>
            </w:r>
            <w:r w:rsidR="005E384D">
              <w:rPr>
                <w:rFonts w:ascii="Times New (W1)" w:hAnsi="Times New (W1)"/>
                <w:color w:val="000000"/>
              </w:rPr>
              <w:t>.</w:t>
            </w:r>
          </w:p>
          <w:p w:rsidR="00B844FA" w:rsidRPr="00D12268" w:rsidRDefault="00B4002E" w:rsidP="005552E4">
            <w:pPr>
              <w:numPr>
                <w:ilvl w:val="0"/>
                <w:numId w:val="4"/>
              </w:numPr>
              <w:rPr>
                <w:color w:val="000000"/>
              </w:rPr>
            </w:pPr>
            <w:r>
              <w:rPr>
                <w:rFonts w:ascii="Times New (W1)" w:hAnsi="Times New (W1)"/>
                <w:color w:val="000000"/>
              </w:rPr>
              <w:t xml:space="preserve">Blood glucose </w:t>
            </w:r>
            <w:proofErr w:type="gramStart"/>
            <w:r>
              <w:rPr>
                <w:rFonts w:ascii="Times New (W1)" w:hAnsi="Times New (W1)"/>
                <w:color w:val="000000"/>
              </w:rPr>
              <w:t xml:space="preserve">less than 2.7 </w:t>
            </w:r>
            <w:proofErr w:type="spellStart"/>
            <w:r w:rsidR="00B844FA" w:rsidRPr="00D12268">
              <w:rPr>
                <w:rFonts w:ascii="Times New (W1)" w:hAnsi="Times New (W1)"/>
                <w:color w:val="000000"/>
              </w:rPr>
              <w:t>mmol</w:t>
            </w:r>
            <w:proofErr w:type="spellEnd"/>
            <w:r w:rsidR="00B844FA" w:rsidRPr="00D12268">
              <w:rPr>
                <w:rFonts w:ascii="Times New (W1)" w:hAnsi="Times New (W1)"/>
                <w:color w:val="000000"/>
              </w:rPr>
              <w:t>/L</w:t>
            </w:r>
            <w:proofErr w:type="gramEnd"/>
            <w:r w:rsidR="002842CB">
              <w:rPr>
                <w:rFonts w:ascii="Times New (W1)" w:hAnsi="Times New (W1)"/>
                <w:color w:val="000000"/>
              </w:rPr>
              <w:t xml:space="preserve"> or greater than 22.2 </w:t>
            </w:r>
            <w:proofErr w:type="spellStart"/>
            <w:r w:rsidR="002842CB">
              <w:rPr>
                <w:rFonts w:ascii="Times New (W1)" w:hAnsi="Times New (W1)"/>
                <w:color w:val="000000"/>
              </w:rPr>
              <w:t>mmol</w:t>
            </w:r>
            <w:proofErr w:type="spellEnd"/>
            <w:r w:rsidR="002842CB">
              <w:rPr>
                <w:rFonts w:ascii="Times New (W1)" w:hAnsi="Times New (W1)"/>
                <w:color w:val="000000"/>
              </w:rPr>
              <w:t>/L.</w:t>
            </w:r>
          </w:p>
          <w:p w:rsidR="00B844FA" w:rsidRPr="00D12268" w:rsidRDefault="00B844FA" w:rsidP="005552E4">
            <w:pPr>
              <w:numPr>
                <w:ilvl w:val="0"/>
                <w:numId w:val="4"/>
              </w:numPr>
              <w:rPr>
                <w:color w:val="000000"/>
              </w:rPr>
            </w:pPr>
            <w:r w:rsidRPr="00D12268">
              <w:rPr>
                <w:rFonts w:ascii="Times New (W1)" w:hAnsi="Times New (W1)"/>
                <w:color w:val="000000"/>
              </w:rPr>
              <w:t>Pregnancy</w:t>
            </w:r>
            <w:r w:rsidR="00E2773F">
              <w:rPr>
                <w:rFonts w:ascii="Times New (W1)" w:hAnsi="Times New (W1)"/>
                <w:color w:val="000000"/>
              </w:rPr>
              <w:t xml:space="preserve"> </w:t>
            </w:r>
          </w:p>
          <w:p w:rsidR="009F5AC1" w:rsidRPr="000751AE" w:rsidRDefault="000751AE" w:rsidP="000751AE">
            <w:pPr>
              <w:numPr>
                <w:ilvl w:val="0"/>
                <w:numId w:val="4"/>
              </w:numPr>
              <w:rPr>
                <w:color w:val="000000"/>
              </w:rPr>
            </w:pPr>
            <w:r>
              <w:rPr>
                <w:rFonts w:ascii="Times New (W1)" w:hAnsi="Times New (W1)"/>
                <w:color w:val="000000"/>
              </w:rPr>
              <w:t xml:space="preserve">Direct Oral Anticoagulants (DOACs) (e.g., </w:t>
            </w:r>
            <w:r w:rsidR="009615E3">
              <w:rPr>
                <w:rFonts w:ascii="Times New (W1)" w:hAnsi="Times New (W1)"/>
                <w:color w:val="000000"/>
              </w:rPr>
              <w:t>d</w:t>
            </w:r>
            <w:r w:rsidR="009F5AC1" w:rsidRPr="00D12268">
              <w:rPr>
                <w:rFonts w:ascii="Times New (W1)" w:hAnsi="Times New (W1)"/>
                <w:color w:val="000000"/>
              </w:rPr>
              <w:t>abigatran</w:t>
            </w:r>
            <w:r w:rsidR="002842CB">
              <w:rPr>
                <w:rFonts w:ascii="Times New (W1)" w:hAnsi="Times New (W1)"/>
                <w:color w:val="000000"/>
              </w:rPr>
              <w:t>,</w:t>
            </w:r>
            <w:r w:rsidR="009615E3">
              <w:rPr>
                <w:rFonts w:ascii="Times New (W1)" w:hAnsi="Times New (W1)"/>
                <w:color w:val="000000"/>
              </w:rPr>
              <w:t xml:space="preserve"> r</w:t>
            </w:r>
            <w:r w:rsidR="009F5AC1" w:rsidRPr="00D12268">
              <w:rPr>
                <w:rFonts w:ascii="Times New (W1)" w:hAnsi="Times New (W1)"/>
                <w:color w:val="000000"/>
              </w:rPr>
              <w:t>ivaroxaban</w:t>
            </w:r>
            <w:r w:rsidR="00A555D5">
              <w:rPr>
                <w:rFonts w:ascii="Times New (W1)" w:hAnsi="Times New (W1)"/>
                <w:color w:val="000000"/>
              </w:rPr>
              <w:t xml:space="preserve">, </w:t>
            </w:r>
            <w:proofErr w:type="spellStart"/>
            <w:r w:rsidR="009615E3">
              <w:rPr>
                <w:rFonts w:ascii="Times New (W1)" w:hAnsi="Times New (W1)"/>
                <w:color w:val="000000"/>
              </w:rPr>
              <w:t>a</w:t>
            </w:r>
            <w:r w:rsidR="002842CB">
              <w:rPr>
                <w:rFonts w:ascii="Times New (W1)" w:hAnsi="Times New (W1)"/>
                <w:color w:val="000000"/>
              </w:rPr>
              <w:t>pixaban</w:t>
            </w:r>
            <w:proofErr w:type="spellEnd"/>
            <w:r>
              <w:rPr>
                <w:rFonts w:ascii="Times New (W1)" w:hAnsi="Times New (W1)"/>
                <w:color w:val="000000"/>
              </w:rPr>
              <w:t>)</w:t>
            </w:r>
            <w:r>
              <w:rPr>
                <w:color w:val="000000"/>
              </w:rPr>
              <w:t xml:space="preserve"> </w:t>
            </w:r>
            <w:r w:rsidR="009F5AC1" w:rsidRPr="000751AE">
              <w:rPr>
                <w:rFonts w:ascii="Times New (W1)" w:hAnsi="Times New (W1)"/>
                <w:color w:val="000000"/>
              </w:rPr>
              <w:t>taken greater than 24 hours ago.</w:t>
            </w:r>
          </w:p>
        </w:tc>
        <w:tc>
          <w:tcPr>
            <w:tcW w:w="3780" w:type="dxa"/>
          </w:tcPr>
          <w:p w:rsidR="00B844FA" w:rsidRPr="00D12268" w:rsidRDefault="00B844FA" w:rsidP="005552E4">
            <w:pPr>
              <w:numPr>
                <w:ilvl w:val="0"/>
                <w:numId w:val="3"/>
              </w:numPr>
              <w:suppressAutoHyphens/>
              <w:rPr>
                <w:color w:val="000000"/>
              </w:rPr>
            </w:pPr>
            <w:r w:rsidRPr="00D12268">
              <w:rPr>
                <w:color w:val="000000"/>
              </w:rPr>
              <w:t>Major surgery during previous 14 days</w:t>
            </w:r>
            <w:r w:rsidR="005E384D">
              <w:rPr>
                <w:color w:val="000000"/>
              </w:rPr>
              <w:t>.</w:t>
            </w:r>
          </w:p>
          <w:p w:rsidR="00B844FA" w:rsidRPr="00D12268" w:rsidRDefault="00B844FA" w:rsidP="005552E4">
            <w:pPr>
              <w:numPr>
                <w:ilvl w:val="0"/>
                <w:numId w:val="3"/>
              </w:numPr>
              <w:suppressAutoHyphens/>
              <w:rPr>
                <w:color w:val="000000"/>
              </w:rPr>
            </w:pPr>
            <w:r w:rsidRPr="00D12268">
              <w:rPr>
                <w:color w:val="000000"/>
              </w:rPr>
              <w:t>History suggestive of subarachnoid hemorrhage or aortic dissection</w:t>
            </w:r>
            <w:r w:rsidR="005E384D">
              <w:rPr>
                <w:color w:val="000000"/>
              </w:rPr>
              <w:t>.</w:t>
            </w:r>
            <w:r w:rsidRPr="00D12268">
              <w:rPr>
                <w:color w:val="000000"/>
              </w:rPr>
              <w:t xml:space="preserve"> </w:t>
            </w:r>
          </w:p>
          <w:p w:rsidR="00B844FA" w:rsidRPr="00D12268" w:rsidRDefault="00B844FA" w:rsidP="005552E4">
            <w:pPr>
              <w:numPr>
                <w:ilvl w:val="0"/>
                <w:numId w:val="3"/>
              </w:numPr>
              <w:suppressAutoHyphens/>
              <w:rPr>
                <w:color w:val="000000"/>
              </w:rPr>
            </w:pPr>
            <w:r w:rsidRPr="00D12268">
              <w:rPr>
                <w:color w:val="000000"/>
              </w:rPr>
              <w:t>Gastrointestinal or urinary tract hemorrhage in the past 21 days</w:t>
            </w:r>
            <w:r w:rsidR="005E384D">
              <w:rPr>
                <w:color w:val="000000"/>
              </w:rPr>
              <w:t>.</w:t>
            </w:r>
          </w:p>
          <w:p w:rsidR="00B844FA" w:rsidRPr="00D12268" w:rsidRDefault="00B844FA" w:rsidP="005552E4">
            <w:pPr>
              <w:numPr>
                <w:ilvl w:val="0"/>
                <w:numId w:val="3"/>
              </w:numPr>
              <w:suppressAutoHyphens/>
              <w:rPr>
                <w:color w:val="000000"/>
              </w:rPr>
            </w:pPr>
            <w:r w:rsidRPr="00D12268">
              <w:rPr>
                <w:color w:val="000000"/>
              </w:rPr>
              <w:t xml:space="preserve"> Evidence of active bleeding or acute trauma (fracture) on examination</w:t>
            </w:r>
            <w:r w:rsidR="005E384D">
              <w:rPr>
                <w:color w:val="000000"/>
              </w:rPr>
              <w:t>.</w:t>
            </w:r>
          </w:p>
          <w:p w:rsidR="00B844FA" w:rsidRPr="00D12268" w:rsidRDefault="00B844FA" w:rsidP="005552E4">
            <w:pPr>
              <w:numPr>
                <w:ilvl w:val="0"/>
                <w:numId w:val="3"/>
              </w:numPr>
              <w:suppressAutoHyphens/>
              <w:rPr>
                <w:color w:val="000000"/>
              </w:rPr>
            </w:pPr>
            <w:r w:rsidRPr="00D12268">
              <w:rPr>
                <w:color w:val="000000"/>
              </w:rPr>
              <w:t>Puncture of a non-compressible artery or biopsy site within 7 days, including lumbar puncture</w:t>
            </w:r>
            <w:r w:rsidR="005E384D">
              <w:rPr>
                <w:color w:val="000000"/>
              </w:rPr>
              <w:t>.</w:t>
            </w:r>
            <w:r w:rsidRPr="00D12268">
              <w:rPr>
                <w:color w:val="000000"/>
              </w:rPr>
              <w:t xml:space="preserve"> </w:t>
            </w:r>
          </w:p>
          <w:p w:rsidR="00B844FA" w:rsidRPr="00D12268" w:rsidRDefault="00B844FA" w:rsidP="005552E4">
            <w:pPr>
              <w:numPr>
                <w:ilvl w:val="0"/>
                <w:numId w:val="3"/>
              </w:numPr>
              <w:suppressAutoHyphens/>
              <w:rPr>
                <w:color w:val="000000"/>
              </w:rPr>
            </w:pPr>
            <w:r w:rsidRPr="00D12268">
              <w:rPr>
                <w:color w:val="000000"/>
              </w:rPr>
              <w:t>Significant head trauma or stroke in the past 90 days</w:t>
            </w:r>
            <w:r w:rsidR="005E384D">
              <w:rPr>
                <w:color w:val="000000"/>
              </w:rPr>
              <w:t>.</w:t>
            </w:r>
          </w:p>
          <w:p w:rsidR="00B844FA" w:rsidRPr="00D12268" w:rsidRDefault="00B844FA" w:rsidP="005552E4">
            <w:pPr>
              <w:numPr>
                <w:ilvl w:val="0"/>
                <w:numId w:val="3"/>
              </w:numPr>
              <w:suppressAutoHyphens/>
              <w:rPr>
                <w:color w:val="000000"/>
              </w:rPr>
            </w:pPr>
            <w:r w:rsidRPr="00D12268">
              <w:rPr>
                <w:color w:val="000000"/>
              </w:rPr>
              <w:t>Blood pr</w:t>
            </w:r>
            <w:r w:rsidR="00A555D5">
              <w:rPr>
                <w:color w:val="000000"/>
              </w:rPr>
              <w:t>essure systolic greater than 180</w:t>
            </w:r>
            <w:r w:rsidRPr="00D12268">
              <w:rPr>
                <w:color w:val="000000"/>
              </w:rPr>
              <w:t xml:space="preserve"> mmHg, a</w:t>
            </w:r>
            <w:r w:rsidR="00A555D5">
              <w:rPr>
                <w:color w:val="000000"/>
              </w:rPr>
              <w:t>nd/or diastolic greater than 105</w:t>
            </w:r>
            <w:r w:rsidRPr="00D12268">
              <w:rPr>
                <w:color w:val="000000"/>
              </w:rPr>
              <w:t xml:space="preserve"> mmHg at the time of </w:t>
            </w:r>
            <w:proofErr w:type="spellStart"/>
            <w:r w:rsidRPr="00D12268">
              <w:rPr>
                <w:color w:val="000000"/>
              </w:rPr>
              <w:t>rt</w:t>
            </w:r>
            <w:proofErr w:type="spellEnd"/>
            <w:r w:rsidR="009F5AC1" w:rsidRPr="00D12268">
              <w:rPr>
                <w:color w:val="000000"/>
              </w:rPr>
              <w:t>-</w:t>
            </w:r>
            <w:r w:rsidRPr="00D12268">
              <w:rPr>
                <w:color w:val="000000"/>
              </w:rPr>
              <w:t>PA administration (see Appendix A: Management of Hypertension)</w:t>
            </w:r>
            <w:r w:rsidR="005E384D">
              <w:rPr>
                <w:color w:val="000000"/>
              </w:rPr>
              <w:t>.</w:t>
            </w:r>
          </w:p>
          <w:p w:rsidR="00B844FA" w:rsidRPr="00D12268" w:rsidRDefault="00B844FA" w:rsidP="005552E4">
            <w:pPr>
              <w:numPr>
                <w:ilvl w:val="0"/>
                <w:numId w:val="3"/>
              </w:numPr>
              <w:suppressAutoHyphens/>
              <w:rPr>
                <w:color w:val="000000"/>
              </w:rPr>
            </w:pPr>
            <w:r w:rsidRPr="00D12268">
              <w:rPr>
                <w:color w:val="000000"/>
              </w:rPr>
              <w:t>Serious co-morbidity, (e.g. advanced cancer, renal failure, hepatic failure) that would increase bleeding risk or limit effectiveness of outcome</w:t>
            </w:r>
            <w:r w:rsidR="005E384D">
              <w:rPr>
                <w:color w:val="000000"/>
              </w:rPr>
              <w:t>.</w:t>
            </w:r>
          </w:p>
          <w:p w:rsidR="00B844FA" w:rsidRPr="00D12268" w:rsidRDefault="00B844FA" w:rsidP="005552E4">
            <w:pPr>
              <w:numPr>
                <w:ilvl w:val="0"/>
                <w:numId w:val="3"/>
              </w:numPr>
              <w:suppressAutoHyphens/>
              <w:rPr>
                <w:color w:val="000000"/>
              </w:rPr>
            </w:pPr>
            <w:r w:rsidRPr="00D12268">
              <w:rPr>
                <w:color w:val="000000"/>
              </w:rPr>
              <w:t xml:space="preserve">Coma  </w:t>
            </w:r>
          </w:p>
          <w:p w:rsidR="00B844FA" w:rsidRPr="00D12268" w:rsidRDefault="00B844FA" w:rsidP="005552E4">
            <w:pPr>
              <w:numPr>
                <w:ilvl w:val="0"/>
                <w:numId w:val="3"/>
              </w:numPr>
              <w:suppressAutoHyphens/>
            </w:pPr>
            <w:r w:rsidRPr="00D12268">
              <w:t xml:space="preserve">INR greater than </w:t>
            </w:r>
            <w:r w:rsidR="002842CB">
              <w:t xml:space="preserve">1.7 </w:t>
            </w:r>
            <w:r w:rsidRPr="00D12268">
              <w:t>or platelet count less than 100,000</w:t>
            </w:r>
            <w:r w:rsidR="005E384D">
              <w:t>.</w:t>
            </w:r>
          </w:p>
          <w:p w:rsidR="009F5AC1" w:rsidRPr="00D12268" w:rsidRDefault="009F5AC1" w:rsidP="005552E4">
            <w:pPr>
              <w:numPr>
                <w:ilvl w:val="0"/>
                <w:numId w:val="3"/>
              </w:numPr>
              <w:suppressAutoHyphens/>
            </w:pPr>
            <w:r w:rsidRPr="00D12268">
              <w:t>D</w:t>
            </w:r>
            <w:r w:rsidR="000751AE">
              <w:t xml:space="preserve">OACs (e.g., </w:t>
            </w:r>
            <w:r w:rsidR="009615E3">
              <w:t>d</w:t>
            </w:r>
            <w:r w:rsidRPr="00D12268">
              <w:t>abigatran</w:t>
            </w:r>
            <w:r w:rsidR="002842CB">
              <w:t>,</w:t>
            </w:r>
            <w:r w:rsidR="000751AE">
              <w:t xml:space="preserve"> </w:t>
            </w:r>
            <w:r w:rsidR="009615E3">
              <w:t>r</w:t>
            </w:r>
            <w:r w:rsidRPr="00D12268">
              <w:t>ivaroxaban</w:t>
            </w:r>
            <w:r w:rsidR="000751AE">
              <w:t>,</w:t>
            </w:r>
            <w:r w:rsidR="00A555D5">
              <w:t xml:space="preserve"> </w:t>
            </w:r>
            <w:proofErr w:type="spellStart"/>
            <w:r w:rsidR="009615E3">
              <w:t>a</w:t>
            </w:r>
            <w:r w:rsidR="002842CB">
              <w:t>pixaban</w:t>
            </w:r>
            <w:proofErr w:type="spellEnd"/>
            <w:r w:rsidR="000751AE">
              <w:t xml:space="preserve">) </w:t>
            </w:r>
            <w:r w:rsidR="00A555D5">
              <w:t>taken within 24 hours</w:t>
            </w:r>
            <w:r w:rsidR="005E384D">
              <w:t>.</w:t>
            </w:r>
          </w:p>
          <w:p w:rsidR="00B844FA" w:rsidRPr="00D12268" w:rsidRDefault="00B844FA" w:rsidP="005552E4">
            <w:pPr>
              <w:numPr>
                <w:ilvl w:val="0"/>
                <w:numId w:val="3"/>
              </w:numPr>
              <w:suppressAutoHyphens/>
              <w:rPr>
                <w:color w:val="000000"/>
              </w:rPr>
            </w:pPr>
            <w:r w:rsidRPr="00D12268">
              <w:rPr>
                <w:color w:val="000000"/>
              </w:rPr>
              <w:t>Rapidly resolving neurologic signs</w:t>
            </w:r>
            <w:r w:rsidR="005E384D">
              <w:rPr>
                <w:color w:val="000000"/>
              </w:rPr>
              <w:t>.</w:t>
            </w:r>
            <w:r w:rsidRPr="00D12268">
              <w:rPr>
                <w:color w:val="000000"/>
              </w:rPr>
              <w:t xml:space="preserve"> </w:t>
            </w:r>
          </w:p>
          <w:p w:rsidR="00B844FA" w:rsidRPr="00D12268" w:rsidRDefault="00B844FA" w:rsidP="005552E4">
            <w:pPr>
              <w:numPr>
                <w:ilvl w:val="0"/>
                <w:numId w:val="3"/>
              </w:numPr>
              <w:suppressAutoHyphens/>
              <w:rPr>
                <w:color w:val="000000"/>
              </w:rPr>
            </w:pPr>
            <w:r w:rsidRPr="00D12268">
              <w:rPr>
                <w:color w:val="000000"/>
              </w:rPr>
              <w:t>Hemorrhage seen on CT head scan</w:t>
            </w:r>
            <w:r w:rsidR="005E384D">
              <w:rPr>
                <w:color w:val="000000"/>
              </w:rPr>
              <w:t>.</w:t>
            </w:r>
          </w:p>
          <w:p w:rsidR="00B844FA" w:rsidRPr="00D12268" w:rsidRDefault="00B844FA" w:rsidP="005552E4">
            <w:pPr>
              <w:numPr>
                <w:ilvl w:val="0"/>
                <w:numId w:val="3"/>
              </w:numPr>
              <w:suppressAutoHyphens/>
              <w:rPr>
                <w:rFonts w:ascii="Times New (W1)" w:hAnsi="Times New (W1)"/>
                <w:color w:val="000000"/>
              </w:rPr>
            </w:pPr>
            <w:r w:rsidRPr="00D12268">
              <w:rPr>
                <w:rFonts w:ascii="Times New (W1)" w:hAnsi="Times New (W1)"/>
                <w:color w:val="000000"/>
              </w:rPr>
              <w:t>CNS vascular malformation, abscess or tumor</w:t>
            </w:r>
            <w:r w:rsidR="005E384D">
              <w:rPr>
                <w:rFonts w:ascii="Times New (W1)" w:hAnsi="Times New (W1)"/>
                <w:color w:val="000000"/>
              </w:rPr>
              <w:t>.</w:t>
            </w:r>
          </w:p>
          <w:p w:rsidR="00B844FA" w:rsidRPr="00D12268" w:rsidRDefault="00B844FA">
            <w:pPr>
              <w:suppressAutoHyphens/>
              <w:rPr>
                <w:rFonts w:ascii="Times New (W1)" w:hAnsi="Times New (W1)"/>
                <w:color w:val="000000"/>
              </w:rPr>
            </w:pPr>
            <w:r w:rsidRPr="00D12268">
              <w:rPr>
                <w:rFonts w:ascii="Times New (W1)" w:hAnsi="Times New (W1)"/>
                <w:color w:val="000000"/>
              </w:rPr>
              <w:t xml:space="preserve"> </w:t>
            </w:r>
          </w:p>
          <w:p w:rsidR="00B844FA" w:rsidRPr="00D12268" w:rsidRDefault="00B844FA">
            <w:pPr>
              <w:suppressAutoHyphens/>
              <w:rPr>
                <w:b/>
                <w:bCs/>
                <w:color w:val="000000"/>
                <w:u w:val="single"/>
              </w:rPr>
            </w:pPr>
          </w:p>
        </w:tc>
      </w:tr>
    </w:tbl>
    <w:p w:rsidR="00A555D5" w:rsidRDefault="00A555D5">
      <w:pPr>
        <w:rPr>
          <w:b/>
          <w:bCs/>
          <w:sz w:val="20"/>
        </w:rPr>
      </w:pPr>
    </w:p>
    <w:p w:rsidR="00A555D5" w:rsidRDefault="00A555D5">
      <w:pPr>
        <w:rPr>
          <w:b/>
          <w:bCs/>
          <w:sz w:val="20"/>
        </w:rPr>
      </w:pPr>
    </w:p>
    <w:p w:rsidR="00A555D5" w:rsidRDefault="00A555D5">
      <w:pPr>
        <w:rPr>
          <w:b/>
          <w:bCs/>
          <w:sz w:val="20"/>
        </w:rPr>
      </w:pPr>
    </w:p>
    <w:p w:rsidR="00A555D5" w:rsidRDefault="00A555D5">
      <w:pPr>
        <w:rPr>
          <w:b/>
          <w:bCs/>
          <w:sz w:val="20"/>
        </w:rPr>
      </w:pPr>
    </w:p>
    <w:p w:rsidR="00A555D5" w:rsidRDefault="00A555D5">
      <w:pPr>
        <w:rPr>
          <w:b/>
          <w:bCs/>
          <w:sz w:val="20"/>
        </w:rPr>
      </w:pPr>
    </w:p>
    <w:p w:rsidR="00B844FA" w:rsidRDefault="00B844FA">
      <w:pPr>
        <w:rPr>
          <w:rFonts w:ascii="Arial" w:hAnsi="Arial" w:cs="Arial"/>
        </w:rPr>
        <w:sectPr w:rsidR="00B844FA" w:rsidSect="007117DA">
          <w:footerReference w:type="default" r:id="rId9"/>
          <w:headerReference w:type="first" r:id="rId10"/>
          <w:pgSz w:w="12240" w:h="15840" w:code="1"/>
          <w:pgMar w:top="1440" w:right="1620" w:bottom="720" w:left="1440" w:header="57" w:footer="57" w:gutter="0"/>
          <w:cols w:space="720"/>
          <w:titlePg/>
          <w:docGrid w:linePitch="360"/>
        </w:sectPr>
      </w:pPr>
      <w:r>
        <w:rPr>
          <w:b/>
          <w:bCs/>
          <w:sz w:val="20"/>
        </w:rPr>
        <w:tab/>
      </w:r>
      <w:r>
        <w:rPr>
          <w:b/>
          <w:bCs/>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5E384D" w:rsidRPr="00CA2F69" w:rsidTr="00CA2F69">
        <w:tc>
          <w:tcPr>
            <w:tcW w:w="9756" w:type="dxa"/>
            <w:tcBorders>
              <w:top w:val="nil"/>
              <w:left w:val="nil"/>
              <w:bottom w:val="single" w:sz="4" w:space="0" w:color="auto"/>
              <w:right w:val="nil"/>
            </w:tcBorders>
            <w:shd w:val="clear" w:color="auto" w:fill="auto"/>
          </w:tcPr>
          <w:p w:rsidR="005E384D" w:rsidRDefault="005E384D" w:rsidP="00CA2F69">
            <w:pPr>
              <w:tabs>
                <w:tab w:val="left" w:pos="180"/>
              </w:tabs>
              <w:rPr>
                <w:b/>
              </w:rPr>
            </w:pPr>
            <w:r w:rsidRPr="00CA2F69">
              <w:rPr>
                <w:b/>
              </w:rPr>
              <w:lastRenderedPageBreak/>
              <w:t xml:space="preserve">Table 2: Inclusion &amp; Exclusion Criteria </w:t>
            </w:r>
            <w:r w:rsidR="0028777A">
              <w:rPr>
                <w:b/>
              </w:rPr>
              <w:t>f</w:t>
            </w:r>
            <w:r w:rsidRPr="00CA2F69">
              <w:rPr>
                <w:b/>
              </w:rPr>
              <w:t>or EVT</w:t>
            </w:r>
            <w:r w:rsidR="0063587C">
              <w:rPr>
                <w:b/>
              </w:rPr>
              <w:t xml:space="preserve"> -Based on ESCAPE Trial Selection Criteria</w:t>
            </w:r>
          </w:p>
          <w:p w:rsidR="00F5218C" w:rsidRPr="00CA2F69" w:rsidRDefault="00F5218C" w:rsidP="00CA2F69">
            <w:pPr>
              <w:tabs>
                <w:tab w:val="left" w:pos="180"/>
              </w:tabs>
              <w:rPr>
                <w:b/>
              </w:rPr>
            </w:pPr>
          </w:p>
        </w:tc>
      </w:tr>
      <w:tr w:rsidR="005E384D" w:rsidRPr="00CA2F69" w:rsidTr="00F8797A">
        <w:trPr>
          <w:trHeight w:val="4955"/>
        </w:trPr>
        <w:tc>
          <w:tcPr>
            <w:tcW w:w="9756" w:type="dxa"/>
            <w:tcBorders>
              <w:top w:val="single" w:sz="4" w:space="0" w:color="auto"/>
            </w:tcBorders>
            <w:shd w:val="clear" w:color="auto" w:fill="auto"/>
          </w:tcPr>
          <w:p w:rsidR="005E384D" w:rsidRPr="00CA2F69" w:rsidRDefault="005E384D" w:rsidP="00CA2F69">
            <w:pPr>
              <w:tabs>
                <w:tab w:val="left" w:pos="180"/>
              </w:tabs>
              <w:rPr>
                <w:b/>
              </w:rPr>
            </w:pPr>
            <w:r w:rsidRPr="00CA2F69">
              <w:rPr>
                <w:b/>
              </w:rPr>
              <w:t xml:space="preserve">Specific Inclusion Criteria for EVT: </w:t>
            </w:r>
          </w:p>
          <w:p w:rsidR="005E384D" w:rsidRPr="00A555D5" w:rsidRDefault="005E384D" w:rsidP="00CA2F69">
            <w:pPr>
              <w:tabs>
                <w:tab w:val="left" w:pos="180"/>
              </w:tabs>
            </w:pPr>
            <w:r w:rsidRPr="00B130CB">
              <w:rPr>
                <w:b/>
                <w:sz w:val="36"/>
                <w:szCs w:val="36"/>
              </w:rPr>
              <w:t>□</w:t>
            </w:r>
            <w:r w:rsidRPr="00B130CB">
              <w:rPr>
                <w:b/>
                <w:sz w:val="32"/>
                <w:szCs w:val="32"/>
              </w:rPr>
              <w:t xml:space="preserve"> </w:t>
            </w:r>
            <w:r w:rsidRPr="00A555D5">
              <w:t>If IV</w:t>
            </w:r>
            <w:r w:rsidRPr="00CA2F69">
              <w:rPr>
                <w:u w:val="single"/>
              </w:rPr>
              <w:t xml:space="preserve"> </w:t>
            </w:r>
            <w:proofErr w:type="spellStart"/>
            <w:r w:rsidRPr="00CA2F69">
              <w:rPr>
                <w:u w:val="single"/>
              </w:rPr>
              <w:t>r</w:t>
            </w:r>
            <w:r w:rsidRPr="00A555D5">
              <w:t>t</w:t>
            </w:r>
            <w:proofErr w:type="spellEnd"/>
            <w:r>
              <w:t>-</w:t>
            </w:r>
            <w:r w:rsidRPr="00A555D5">
              <w:t xml:space="preserve">PA is given in conjunction with EVT, refer to Table 1 (inclusion/exclusion criteria for </w:t>
            </w:r>
            <w:proofErr w:type="spellStart"/>
            <w:r w:rsidRPr="00A555D5">
              <w:t>tPA</w:t>
            </w:r>
            <w:proofErr w:type="spellEnd"/>
            <w:r w:rsidRPr="00A555D5">
              <w:t>).</w:t>
            </w:r>
            <w:r>
              <w:t xml:space="preserve"> Some exceptions will apply for EVT as noted with the following criteria:</w:t>
            </w:r>
            <w:r w:rsidRPr="00A555D5">
              <w:t xml:space="preserve"> </w:t>
            </w:r>
          </w:p>
          <w:p w:rsidR="005E384D" w:rsidRPr="00A555D5" w:rsidRDefault="005E384D" w:rsidP="00CA2F69">
            <w:pPr>
              <w:tabs>
                <w:tab w:val="left" w:pos="180"/>
              </w:tabs>
            </w:pPr>
            <w:r w:rsidRPr="00B130CB">
              <w:rPr>
                <w:sz w:val="36"/>
                <w:szCs w:val="36"/>
              </w:rPr>
              <w:t>□</w:t>
            </w:r>
            <w:r w:rsidRPr="00A555D5">
              <w:t xml:space="preserve"> Age 18 years or greater</w:t>
            </w:r>
          </w:p>
          <w:p w:rsidR="005E384D" w:rsidRPr="00A555D5" w:rsidRDefault="00BE7B41" w:rsidP="00CA2F69">
            <w:pPr>
              <w:tabs>
                <w:tab w:val="left" w:pos="180"/>
              </w:tabs>
            </w:pPr>
            <w:r w:rsidRPr="00B130CB">
              <w:rPr>
                <w:sz w:val="36"/>
                <w:szCs w:val="36"/>
              </w:rPr>
              <w:t>□</w:t>
            </w:r>
            <w:r w:rsidRPr="00B130CB">
              <w:rPr>
                <w:sz w:val="32"/>
                <w:szCs w:val="32"/>
              </w:rPr>
              <w:t xml:space="preserve"> </w:t>
            </w:r>
            <w:r>
              <w:t>NIH Stroke Scale (NIHSS)</w:t>
            </w:r>
            <w:r w:rsidR="005E384D" w:rsidRPr="00A555D5">
              <w:t xml:space="preserve"> greater than 5</w:t>
            </w:r>
          </w:p>
          <w:p w:rsidR="005E384D" w:rsidRPr="00A555D5" w:rsidRDefault="005E384D" w:rsidP="00CA2F69">
            <w:pPr>
              <w:tabs>
                <w:tab w:val="left" w:pos="180"/>
              </w:tabs>
            </w:pPr>
            <w:r w:rsidRPr="00B130CB">
              <w:rPr>
                <w:sz w:val="36"/>
                <w:szCs w:val="36"/>
              </w:rPr>
              <w:t>□</w:t>
            </w:r>
            <w:r w:rsidRPr="00B130CB">
              <w:rPr>
                <w:sz w:val="28"/>
                <w:szCs w:val="28"/>
              </w:rPr>
              <w:t xml:space="preserve"> </w:t>
            </w:r>
            <w:r w:rsidRPr="00A555D5">
              <w:t xml:space="preserve">Pre-stroke functioning independently in activities of daily living in their community </w:t>
            </w:r>
          </w:p>
          <w:p w:rsidR="005E384D" w:rsidRPr="00A555D5" w:rsidRDefault="005E384D" w:rsidP="00CA2F69">
            <w:pPr>
              <w:tabs>
                <w:tab w:val="left" w:pos="180"/>
              </w:tabs>
            </w:pPr>
            <w:r w:rsidRPr="00B130CB">
              <w:rPr>
                <w:sz w:val="36"/>
                <w:szCs w:val="36"/>
              </w:rPr>
              <w:t>□</w:t>
            </w:r>
            <w:r w:rsidRPr="00B130CB">
              <w:rPr>
                <w:sz w:val="32"/>
                <w:szCs w:val="32"/>
              </w:rPr>
              <w:t xml:space="preserve"> </w:t>
            </w:r>
            <w:r w:rsidRPr="00A555D5">
              <w:t xml:space="preserve">Imaging based on </w:t>
            </w:r>
            <w:r w:rsidRPr="00CA2F69">
              <w:rPr>
                <w:b/>
              </w:rPr>
              <w:t>all</w:t>
            </w:r>
            <w:r w:rsidRPr="00A555D5">
              <w:t xml:space="preserve"> 3 of the following: </w:t>
            </w:r>
          </w:p>
          <w:p w:rsidR="005E384D" w:rsidRPr="00A555D5" w:rsidRDefault="005E384D" w:rsidP="005552E4">
            <w:pPr>
              <w:numPr>
                <w:ilvl w:val="0"/>
                <w:numId w:val="23"/>
              </w:numPr>
              <w:tabs>
                <w:tab w:val="left" w:pos="180"/>
              </w:tabs>
            </w:pPr>
            <w:r w:rsidRPr="00A555D5">
              <w:t>Non Contrast CT with ASPECTS score of 6 or higher (small infarct core)</w:t>
            </w:r>
            <w:r>
              <w:t>;</w:t>
            </w:r>
            <w:r w:rsidRPr="00A555D5">
              <w:t xml:space="preserve"> &amp; </w:t>
            </w:r>
          </w:p>
          <w:p w:rsidR="005E384D" w:rsidRPr="00A555D5" w:rsidRDefault="005E384D" w:rsidP="005552E4">
            <w:pPr>
              <w:numPr>
                <w:ilvl w:val="0"/>
                <w:numId w:val="23"/>
              </w:numPr>
              <w:tabs>
                <w:tab w:val="left" w:pos="180"/>
              </w:tabs>
            </w:pPr>
            <w:r w:rsidRPr="00A555D5">
              <w:t>CTA (arterial phase from aortic arch to vertex of the head) with intracranial large proximal artery occlusion in anterior circulation</w:t>
            </w:r>
            <w:r w:rsidR="00F8797A">
              <w:t xml:space="preserve">; </w:t>
            </w:r>
            <w:r w:rsidRPr="00A555D5">
              <w:t xml:space="preserve">&amp; </w:t>
            </w:r>
          </w:p>
          <w:p w:rsidR="005E384D" w:rsidRPr="00A555D5" w:rsidRDefault="005E384D" w:rsidP="005552E4">
            <w:pPr>
              <w:numPr>
                <w:ilvl w:val="0"/>
                <w:numId w:val="23"/>
              </w:numPr>
              <w:tabs>
                <w:tab w:val="left" w:pos="180"/>
              </w:tabs>
            </w:pPr>
            <w:r w:rsidRPr="00A555D5">
              <w:t xml:space="preserve">Multiphase CTA with moderate to good circulation defined as 50% or more filling of the MCA </w:t>
            </w:r>
            <w:proofErr w:type="spellStart"/>
            <w:r w:rsidRPr="00A555D5">
              <w:t>pial</w:t>
            </w:r>
            <w:proofErr w:type="spellEnd"/>
            <w:r w:rsidRPr="00A555D5">
              <w:t xml:space="preserve"> arterial circulation </w:t>
            </w:r>
          </w:p>
          <w:p w:rsidR="005E384D" w:rsidRDefault="005E384D" w:rsidP="00CA2F69">
            <w:pPr>
              <w:tabs>
                <w:tab w:val="left" w:pos="180"/>
              </w:tabs>
            </w:pPr>
            <w:r w:rsidRPr="00B130CB">
              <w:rPr>
                <w:b/>
                <w:sz w:val="36"/>
                <w:szCs w:val="36"/>
              </w:rPr>
              <w:t>□</w:t>
            </w:r>
            <w:r w:rsidRPr="00B130CB">
              <w:rPr>
                <w:b/>
                <w:sz w:val="32"/>
                <w:szCs w:val="32"/>
              </w:rPr>
              <w:t xml:space="preserve"> </w:t>
            </w:r>
            <w:r w:rsidRPr="00A555D5">
              <w:t>Time to treatment</w:t>
            </w:r>
            <w:r>
              <w:t xml:space="preserve"> based on the following:</w:t>
            </w:r>
          </w:p>
          <w:p w:rsidR="005E384D" w:rsidRDefault="009615E3" w:rsidP="005552E4">
            <w:pPr>
              <w:numPr>
                <w:ilvl w:val="0"/>
                <w:numId w:val="24"/>
              </w:numPr>
              <w:tabs>
                <w:tab w:val="left" w:pos="180"/>
              </w:tabs>
            </w:pPr>
            <w:r>
              <w:t>Time from</w:t>
            </w:r>
            <w:r w:rsidR="007744B8">
              <w:t xml:space="preserve"> first slice of non-contr</w:t>
            </w:r>
            <w:r>
              <w:t>ast CT to revascularization</w:t>
            </w:r>
            <w:r w:rsidR="007744B8">
              <w:t xml:space="preserve"> should be 90 minutes or less. </w:t>
            </w:r>
          </w:p>
          <w:p w:rsidR="005E384D" w:rsidRPr="007744B8" w:rsidRDefault="007744B8" w:rsidP="0063587C">
            <w:pPr>
              <w:numPr>
                <w:ilvl w:val="0"/>
                <w:numId w:val="24"/>
              </w:numPr>
              <w:tabs>
                <w:tab w:val="left" w:pos="180"/>
              </w:tabs>
              <w:rPr>
                <w:b/>
              </w:rPr>
            </w:pPr>
            <w:r>
              <w:t xml:space="preserve">Time from the first slice of non-contrast CT to groin puncture should be 60 minutes or less. </w:t>
            </w:r>
          </w:p>
          <w:p w:rsidR="00BA5E4E" w:rsidRPr="004916E9" w:rsidRDefault="00B0221B" w:rsidP="004916E9">
            <w:pPr>
              <w:numPr>
                <w:ilvl w:val="0"/>
                <w:numId w:val="24"/>
              </w:numPr>
              <w:tabs>
                <w:tab w:val="left" w:pos="180"/>
              </w:tabs>
              <w:rPr>
                <w:b/>
              </w:rPr>
            </w:pPr>
            <w:r>
              <w:t xml:space="preserve">Should be within 7 </w:t>
            </w:r>
            <w:r w:rsidR="007744B8" w:rsidRPr="00F8797A">
              <w:t>hours from stroke symptom onset to time of initiation of procedure (groin puncture)</w:t>
            </w:r>
            <w:r w:rsidR="00EB58EC">
              <w:t>.</w:t>
            </w:r>
            <w:r w:rsidR="00BA5E4E" w:rsidRPr="00F8797A">
              <w:t xml:space="preserve"> </w:t>
            </w:r>
          </w:p>
        </w:tc>
      </w:tr>
      <w:tr w:rsidR="005E384D" w:rsidRPr="00CA2F69" w:rsidTr="00CA2F69">
        <w:trPr>
          <w:trHeight w:val="1982"/>
        </w:trPr>
        <w:tc>
          <w:tcPr>
            <w:tcW w:w="9756" w:type="dxa"/>
            <w:shd w:val="clear" w:color="auto" w:fill="auto"/>
          </w:tcPr>
          <w:p w:rsidR="005E384D" w:rsidRPr="00CA2F69" w:rsidRDefault="005E384D" w:rsidP="00CA2F69">
            <w:pPr>
              <w:tabs>
                <w:tab w:val="left" w:pos="180"/>
              </w:tabs>
              <w:rPr>
                <w:b/>
              </w:rPr>
            </w:pPr>
            <w:r w:rsidRPr="00CA2F69">
              <w:rPr>
                <w:b/>
              </w:rPr>
              <w:t xml:space="preserve">Specific Exclusion Criteria for EVT: </w:t>
            </w:r>
          </w:p>
          <w:p w:rsidR="00D873C0" w:rsidRPr="00D873C0" w:rsidRDefault="005E384D" w:rsidP="00CA2F69">
            <w:pPr>
              <w:tabs>
                <w:tab w:val="left" w:pos="180"/>
              </w:tabs>
            </w:pPr>
            <w:r w:rsidRPr="00B130CB">
              <w:rPr>
                <w:sz w:val="36"/>
                <w:szCs w:val="36"/>
              </w:rPr>
              <w:t>□</w:t>
            </w:r>
            <w:r w:rsidRPr="00B130CB">
              <w:rPr>
                <w:sz w:val="32"/>
                <w:szCs w:val="32"/>
              </w:rPr>
              <w:t xml:space="preserve"> </w:t>
            </w:r>
            <w:r w:rsidR="00B0221B" w:rsidRPr="00B0221B">
              <w:t xml:space="preserve">Recent </w:t>
            </w:r>
            <w:r w:rsidR="00D873C0">
              <w:t>Intracranial bleed</w:t>
            </w:r>
          </w:p>
          <w:p w:rsidR="005E384D" w:rsidRPr="00A555D5" w:rsidRDefault="005E384D" w:rsidP="00CA2F69">
            <w:pPr>
              <w:tabs>
                <w:tab w:val="left" w:pos="180"/>
              </w:tabs>
            </w:pPr>
            <w:r w:rsidRPr="00B130CB">
              <w:rPr>
                <w:sz w:val="36"/>
                <w:szCs w:val="36"/>
              </w:rPr>
              <w:t xml:space="preserve">□ </w:t>
            </w:r>
            <w:r w:rsidR="00E5618E">
              <w:t>V</w:t>
            </w:r>
            <w:r w:rsidRPr="00A555D5">
              <w:t xml:space="preserve">ery difficult EVT </w:t>
            </w:r>
            <w:r w:rsidR="00E5618E">
              <w:t xml:space="preserve">(femoral) </w:t>
            </w:r>
            <w:r w:rsidRPr="00A555D5">
              <w:t xml:space="preserve">access </w:t>
            </w:r>
            <w:r>
              <w:t>resulting in CT-to-recanalizati</w:t>
            </w:r>
            <w:r w:rsidRPr="00A555D5">
              <w:t>on time longer than 90 minutes or will result in inability to deliver EVT</w:t>
            </w:r>
          </w:p>
          <w:p w:rsidR="005E384D" w:rsidRPr="00A555D5" w:rsidRDefault="005E384D" w:rsidP="00CA2F69">
            <w:pPr>
              <w:tabs>
                <w:tab w:val="left" w:pos="180"/>
              </w:tabs>
            </w:pPr>
            <w:r w:rsidRPr="00B130CB">
              <w:rPr>
                <w:sz w:val="36"/>
                <w:szCs w:val="36"/>
              </w:rPr>
              <w:t xml:space="preserve">□ </w:t>
            </w:r>
            <w:r w:rsidRPr="00A555D5">
              <w:t>Severe contrast allergy or absolute contraindication to Iodinated Contrast</w:t>
            </w:r>
          </w:p>
          <w:p w:rsidR="005E384D" w:rsidRPr="00A555D5" w:rsidRDefault="005E384D" w:rsidP="00CA2F69">
            <w:pPr>
              <w:tabs>
                <w:tab w:val="left" w:pos="180"/>
              </w:tabs>
            </w:pPr>
            <w:r w:rsidRPr="00B130CB">
              <w:rPr>
                <w:sz w:val="36"/>
                <w:szCs w:val="36"/>
              </w:rPr>
              <w:t>□</w:t>
            </w:r>
            <w:r w:rsidRPr="00B130CB">
              <w:rPr>
                <w:sz w:val="28"/>
                <w:szCs w:val="28"/>
              </w:rPr>
              <w:t xml:space="preserve"> </w:t>
            </w:r>
            <w:r w:rsidRPr="00A555D5">
              <w:t>Severe or fatal comorbid illness</w:t>
            </w:r>
          </w:p>
          <w:p w:rsidR="00D873C0" w:rsidRPr="00D873C0" w:rsidRDefault="005E384D" w:rsidP="00D873C0">
            <w:pPr>
              <w:tabs>
                <w:tab w:val="left" w:pos="180"/>
              </w:tabs>
            </w:pPr>
            <w:r w:rsidRPr="00B130CB">
              <w:rPr>
                <w:sz w:val="36"/>
                <w:szCs w:val="36"/>
              </w:rPr>
              <w:t xml:space="preserve">□ </w:t>
            </w:r>
            <w:r w:rsidR="00D873C0">
              <w:t>Fibromuscular Dysplasia</w:t>
            </w:r>
            <w:r w:rsidR="00B0221B">
              <w:t xml:space="preserve"> (relative contraindication, to be considered case by case)</w:t>
            </w:r>
          </w:p>
        </w:tc>
      </w:tr>
    </w:tbl>
    <w:p w:rsidR="008C7046" w:rsidRPr="00F32CFB" w:rsidRDefault="008C7046">
      <w:pPr>
        <w:tabs>
          <w:tab w:val="left" w:pos="180"/>
        </w:tabs>
        <w:ind w:right="360"/>
      </w:pPr>
    </w:p>
    <w:p w:rsidR="005E0DA8" w:rsidRDefault="005E0DA8" w:rsidP="006129C2">
      <w:pPr>
        <w:pStyle w:val="Heading1"/>
        <w:suppressAutoHyphens w:val="0"/>
      </w:pPr>
    </w:p>
    <w:p w:rsidR="005E0DA8" w:rsidRDefault="005E0DA8" w:rsidP="006129C2">
      <w:pPr>
        <w:pStyle w:val="Heading1"/>
        <w:suppressAutoHyphens w:val="0"/>
      </w:pPr>
    </w:p>
    <w:p w:rsidR="005E0DA8" w:rsidRDefault="005E0DA8" w:rsidP="006129C2">
      <w:pPr>
        <w:pStyle w:val="Heading1"/>
        <w:suppressAutoHyphens w:val="0"/>
      </w:pPr>
    </w:p>
    <w:p w:rsidR="005E0DA8" w:rsidRDefault="005E0DA8" w:rsidP="006129C2">
      <w:pPr>
        <w:pStyle w:val="Heading1"/>
        <w:suppressAutoHyphens w:val="0"/>
      </w:pPr>
    </w:p>
    <w:p w:rsidR="005E0DA8" w:rsidRDefault="005E0DA8" w:rsidP="006129C2">
      <w:pPr>
        <w:pStyle w:val="Heading1"/>
        <w:suppressAutoHyphens w:val="0"/>
      </w:pPr>
    </w:p>
    <w:p w:rsidR="005E0DA8" w:rsidRDefault="005E0DA8" w:rsidP="006129C2">
      <w:pPr>
        <w:pStyle w:val="Heading1"/>
        <w:suppressAutoHyphens w:val="0"/>
      </w:pPr>
    </w:p>
    <w:p w:rsidR="005E0DA8" w:rsidRDefault="005E0DA8" w:rsidP="006129C2">
      <w:pPr>
        <w:pStyle w:val="Heading1"/>
        <w:suppressAutoHyphens w:val="0"/>
      </w:pPr>
    </w:p>
    <w:p w:rsidR="005E0DA8" w:rsidRDefault="005E0DA8" w:rsidP="006129C2">
      <w:pPr>
        <w:pStyle w:val="Heading1"/>
        <w:suppressAutoHyphens w:val="0"/>
      </w:pPr>
    </w:p>
    <w:p w:rsidR="005E0DA8" w:rsidRDefault="005E0DA8" w:rsidP="006129C2">
      <w:pPr>
        <w:pStyle w:val="Heading1"/>
        <w:suppressAutoHyphens w:val="0"/>
      </w:pPr>
    </w:p>
    <w:p w:rsidR="00B130CB" w:rsidRDefault="00B130CB" w:rsidP="006129C2">
      <w:pPr>
        <w:pStyle w:val="Heading1"/>
        <w:suppressAutoHyphens w:val="0"/>
      </w:pPr>
    </w:p>
    <w:p w:rsidR="00B130CB" w:rsidRPr="00B130CB" w:rsidRDefault="00B130CB" w:rsidP="00B130CB"/>
    <w:p w:rsidR="00B844FA" w:rsidRDefault="00B844FA" w:rsidP="006129C2">
      <w:pPr>
        <w:pStyle w:val="Heading1"/>
        <w:suppressAutoHyphens w:val="0"/>
      </w:pPr>
      <w:r>
        <w:lastRenderedPageBreak/>
        <w:t xml:space="preserve">Care of the </w:t>
      </w:r>
      <w:r w:rsidR="005411DC">
        <w:t>P</w:t>
      </w:r>
      <w:r w:rsidRPr="00CA2F69">
        <w:t>atient during</w:t>
      </w:r>
      <w:r w:rsidR="005411DC">
        <w:t xml:space="preserve"> T</w:t>
      </w:r>
      <w:r>
        <w:t xml:space="preserve">reatment with </w:t>
      </w:r>
      <w:proofErr w:type="spellStart"/>
      <w:r>
        <w:t>rt</w:t>
      </w:r>
      <w:proofErr w:type="spellEnd"/>
      <w:r>
        <w:t>-PA</w:t>
      </w:r>
      <w:r w:rsidR="00AD227E">
        <w:t>+/-EVT</w:t>
      </w:r>
      <w:r w:rsidR="005E384D">
        <w:t xml:space="preserve"> (</w:t>
      </w:r>
      <w:r w:rsidR="00EB58EC">
        <w:t xml:space="preserve">see Table 3 for care if patient </w:t>
      </w:r>
      <w:r w:rsidR="00790B52">
        <w:t xml:space="preserve">candidate </w:t>
      </w:r>
      <w:r w:rsidR="00EB58EC">
        <w:t xml:space="preserve">for </w:t>
      </w:r>
      <w:r w:rsidR="000569FF">
        <w:t>EVT</w:t>
      </w:r>
      <w:r w:rsidR="0019547F">
        <w:t>)</w:t>
      </w:r>
    </w:p>
    <w:p w:rsidR="00B844FA" w:rsidRDefault="00B844FA" w:rsidP="005552E4">
      <w:pPr>
        <w:pStyle w:val="BodyTextIndent"/>
        <w:numPr>
          <w:ilvl w:val="0"/>
          <w:numId w:val="5"/>
        </w:numPr>
        <w:suppressAutoHyphens/>
        <w:spacing w:after="0"/>
      </w:pPr>
      <w:r w:rsidRPr="00D12268">
        <w:t xml:space="preserve">Patients should have two IV sites, one for </w:t>
      </w:r>
      <w:proofErr w:type="spellStart"/>
      <w:r w:rsidRPr="00D12268">
        <w:t>rt</w:t>
      </w:r>
      <w:proofErr w:type="spellEnd"/>
      <w:r w:rsidRPr="00D12268">
        <w:t>-PA and the second for other medications and in reserve.</w:t>
      </w:r>
    </w:p>
    <w:p w:rsidR="002971D9" w:rsidRPr="00BF0933" w:rsidRDefault="002971D9" w:rsidP="005552E4">
      <w:pPr>
        <w:pStyle w:val="BodyTextIndent"/>
        <w:numPr>
          <w:ilvl w:val="0"/>
          <w:numId w:val="5"/>
        </w:numPr>
        <w:suppressAutoHyphens/>
        <w:spacing w:after="0"/>
      </w:pPr>
      <w:r w:rsidRPr="00BF0933">
        <w:t>Draw blood work (see pg. 1) if not done before CT.</w:t>
      </w:r>
    </w:p>
    <w:p w:rsidR="006129C2" w:rsidRDefault="006129C2" w:rsidP="005552E4">
      <w:pPr>
        <w:pStyle w:val="BodyTextIndent"/>
        <w:numPr>
          <w:ilvl w:val="0"/>
          <w:numId w:val="5"/>
        </w:numPr>
        <w:suppressAutoHyphens/>
        <w:spacing w:after="0"/>
        <w:ind w:hanging="357"/>
      </w:pPr>
      <w:r w:rsidRPr="00D12268">
        <w:t xml:space="preserve">No medication to be co-administered with </w:t>
      </w:r>
      <w:proofErr w:type="spellStart"/>
      <w:r w:rsidRPr="00D12268">
        <w:t>rt</w:t>
      </w:r>
      <w:proofErr w:type="spellEnd"/>
      <w:r w:rsidRPr="00D12268">
        <w:t>-PA through IV lines.</w:t>
      </w:r>
    </w:p>
    <w:p w:rsidR="0019547F" w:rsidRPr="0019547F" w:rsidRDefault="0019547F" w:rsidP="005552E4">
      <w:pPr>
        <w:pStyle w:val="BodyTextIndent"/>
        <w:numPr>
          <w:ilvl w:val="0"/>
          <w:numId w:val="5"/>
        </w:numPr>
        <w:suppressAutoHyphens/>
        <w:spacing w:after="0"/>
        <w:ind w:hanging="357"/>
        <w:rPr>
          <w:bCs/>
          <w:u w:val="single"/>
        </w:rPr>
      </w:pPr>
      <w:r w:rsidRPr="0019547F">
        <w:rPr>
          <w:u w:val="single"/>
        </w:rPr>
        <w:t xml:space="preserve">Administration Guidelines: </w:t>
      </w:r>
    </w:p>
    <w:p w:rsidR="0019547F" w:rsidRDefault="00CA2F69" w:rsidP="005E0DA8">
      <w:pPr>
        <w:pStyle w:val="BodyTextIndent"/>
        <w:numPr>
          <w:ilvl w:val="1"/>
          <w:numId w:val="5"/>
        </w:numPr>
        <w:suppressAutoHyphens/>
        <w:spacing w:after="0"/>
        <w:rPr>
          <w:bCs/>
        </w:rPr>
      </w:pPr>
      <w:proofErr w:type="spellStart"/>
      <w:r>
        <w:t>r</w:t>
      </w:r>
      <w:r w:rsidR="0019547F">
        <w:t>t</w:t>
      </w:r>
      <w:proofErr w:type="spellEnd"/>
      <w:r w:rsidR="0019547F">
        <w:t xml:space="preserve">-PA is administered </w:t>
      </w:r>
      <w:r w:rsidR="0019547F">
        <w:rPr>
          <w:b/>
        </w:rPr>
        <w:t>IV</w:t>
      </w:r>
      <w:r w:rsidR="0019547F">
        <w:t xml:space="preserve"> at a dose of </w:t>
      </w:r>
      <w:r w:rsidR="0019547F">
        <w:rPr>
          <w:b/>
        </w:rPr>
        <w:t>0.9 mg/kg</w:t>
      </w:r>
      <w:r w:rsidR="0019547F">
        <w:t xml:space="preserve"> (maximum dose of 90 mg) using </w:t>
      </w:r>
      <w:proofErr w:type="spellStart"/>
      <w:r w:rsidR="0019547F">
        <w:t>rt</w:t>
      </w:r>
      <w:proofErr w:type="spellEnd"/>
      <w:r w:rsidR="0019547F">
        <w:t>-PA 1 mg/mL injection</w:t>
      </w:r>
    </w:p>
    <w:p w:rsidR="0019547F" w:rsidRPr="006129C2" w:rsidRDefault="0019547F" w:rsidP="005E0DA8">
      <w:pPr>
        <w:pStyle w:val="BodyTextIndent"/>
        <w:numPr>
          <w:ilvl w:val="1"/>
          <w:numId w:val="5"/>
        </w:numPr>
        <w:suppressAutoHyphens/>
        <w:spacing w:after="0"/>
        <w:rPr>
          <w:bCs/>
        </w:rPr>
      </w:pPr>
      <w:r>
        <w:rPr>
          <w:b/>
        </w:rPr>
        <w:t>10%</w:t>
      </w:r>
      <w:r>
        <w:t xml:space="preserve"> of total dose is given as IV push over one minute and the remainder as an IV infusion by pump </w:t>
      </w:r>
      <w:r>
        <w:rPr>
          <w:b/>
        </w:rPr>
        <w:t>over</w:t>
      </w:r>
      <w:r>
        <w:t xml:space="preserve"> </w:t>
      </w:r>
      <w:r>
        <w:rPr>
          <w:b/>
        </w:rPr>
        <w:t>one hour</w:t>
      </w:r>
    </w:p>
    <w:p w:rsidR="00B844FA" w:rsidRPr="00D12268" w:rsidRDefault="00B844FA" w:rsidP="005552E4">
      <w:pPr>
        <w:pStyle w:val="BodyTextIndent"/>
        <w:numPr>
          <w:ilvl w:val="0"/>
          <w:numId w:val="5"/>
        </w:numPr>
        <w:suppressAutoHyphens/>
        <w:spacing w:after="0"/>
        <w:ind w:hanging="357"/>
      </w:pPr>
      <w:r w:rsidRPr="00D12268">
        <w:t xml:space="preserve">Vitals (BP, HR, RR) and neurological </w:t>
      </w:r>
      <w:r w:rsidR="008B1511">
        <w:t>assessment [</w:t>
      </w:r>
      <w:r w:rsidRPr="00D12268">
        <w:t>Canadian Neurological Scale</w:t>
      </w:r>
      <w:r w:rsidR="008B1511">
        <w:t xml:space="preserve"> (CNS)] </w:t>
      </w:r>
      <w:r w:rsidRPr="00D12268">
        <w:t xml:space="preserve">q 15 </w:t>
      </w:r>
      <w:r w:rsidR="00BE7B41">
        <w:t>min during drug administration</w:t>
      </w:r>
      <w:r w:rsidR="00BE7B41" w:rsidRPr="009614C3">
        <w:t xml:space="preserve">. (If EVT: NIHSS or CNS </w:t>
      </w:r>
      <w:r w:rsidR="009614C3" w:rsidRPr="009614C3">
        <w:t xml:space="preserve">to be done </w:t>
      </w:r>
      <w:r w:rsidR="00BE7B41" w:rsidRPr="009614C3">
        <w:t>post EVT)</w:t>
      </w:r>
      <w:r w:rsidRPr="00D12268">
        <w:t xml:space="preserve"> </w:t>
      </w:r>
    </w:p>
    <w:p w:rsidR="00B844FA" w:rsidRPr="00D12268" w:rsidRDefault="00B844FA" w:rsidP="005552E4">
      <w:pPr>
        <w:pStyle w:val="BodyTextIndent"/>
        <w:numPr>
          <w:ilvl w:val="0"/>
          <w:numId w:val="5"/>
        </w:numPr>
        <w:suppressAutoHyphens/>
        <w:spacing w:after="0"/>
      </w:pPr>
      <w:r w:rsidRPr="00D12268">
        <w:t>If an automated cuff is used, it should be loosened between readings, and position changed q 2 hours.</w:t>
      </w:r>
    </w:p>
    <w:p w:rsidR="00B844FA" w:rsidRPr="009614C3" w:rsidRDefault="009F5AC1" w:rsidP="005552E4">
      <w:pPr>
        <w:pStyle w:val="BodyTextIndent"/>
        <w:numPr>
          <w:ilvl w:val="0"/>
          <w:numId w:val="5"/>
        </w:numPr>
        <w:suppressAutoHyphens/>
        <w:spacing w:after="0"/>
        <w:rPr>
          <w:noProof/>
        </w:rPr>
      </w:pPr>
      <w:r w:rsidRPr="009614C3">
        <w:t xml:space="preserve">Continuous </w:t>
      </w:r>
      <w:r w:rsidR="006129C2" w:rsidRPr="009614C3">
        <w:t>cardiac</w:t>
      </w:r>
      <w:r w:rsidR="00B844FA" w:rsidRPr="009614C3">
        <w:t xml:space="preserve"> monitoring and </w:t>
      </w:r>
      <w:r w:rsidR="00BE7B41" w:rsidRPr="009614C3">
        <w:t>SpO</w:t>
      </w:r>
      <w:r w:rsidR="00BE7B41" w:rsidRPr="009614C3">
        <w:rPr>
          <w:vertAlign w:val="subscript"/>
        </w:rPr>
        <w:t>2</w:t>
      </w:r>
      <w:r w:rsidR="00BE7B41" w:rsidRPr="009614C3">
        <w:t xml:space="preserve"> </w:t>
      </w:r>
      <w:r w:rsidR="00B844FA" w:rsidRPr="009614C3">
        <w:t>monitoring.</w:t>
      </w:r>
    </w:p>
    <w:p w:rsidR="00BF0933" w:rsidRPr="002B0B0F" w:rsidRDefault="00BF0933" w:rsidP="005552E4">
      <w:pPr>
        <w:pStyle w:val="BodyTextIndent"/>
        <w:numPr>
          <w:ilvl w:val="0"/>
          <w:numId w:val="5"/>
        </w:numPr>
        <w:suppressAutoHyphens/>
        <w:spacing w:after="0"/>
        <w:rPr>
          <w:noProof/>
        </w:rPr>
      </w:pPr>
      <w:r w:rsidRPr="002B0B0F">
        <w:t>ECG</w:t>
      </w:r>
      <w:r w:rsidR="00790B52" w:rsidRPr="002B0B0F">
        <w:t xml:space="preserve"> post </w:t>
      </w:r>
      <w:r w:rsidR="009614C3" w:rsidRPr="002B0B0F">
        <w:t xml:space="preserve">initiation of IV </w:t>
      </w:r>
      <w:proofErr w:type="spellStart"/>
      <w:r w:rsidR="009614C3" w:rsidRPr="002B0B0F">
        <w:t>rt</w:t>
      </w:r>
      <w:proofErr w:type="spellEnd"/>
      <w:r w:rsidR="009614C3" w:rsidRPr="002B0B0F">
        <w:t>-PA infusion. If patient for EVT and IVR room is ready, ECG to be done post EVT.</w:t>
      </w:r>
    </w:p>
    <w:p w:rsidR="00B844FA" w:rsidRDefault="00B844FA" w:rsidP="005552E4">
      <w:pPr>
        <w:pStyle w:val="BodyTextIndent"/>
        <w:numPr>
          <w:ilvl w:val="0"/>
          <w:numId w:val="5"/>
        </w:numPr>
        <w:suppressAutoHyphens/>
        <w:spacing w:after="0"/>
      </w:pPr>
      <w:r w:rsidRPr="002B0B0F">
        <w:t>If sudden deterioration</w:t>
      </w:r>
      <w:r>
        <w:t xml:space="preserve"> in neurological function should occur (i.e., </w:t>
      </w:r>
      <w:r>
        <w:sym w:font="Symbol" w:char="F0AF"/>
      </w:r>
      <w:r>
        <w:t xml:space="preserve"> LOC, </w:t>
      </w:r>
      <w:r>
        <w:sym w:font="Symbol" w:char="F0AD"/>
      </w:r>
      <w:r>
        <w:t xml:space="preserve"> weakness &amp; </w:t>
      </w:r>
      <w:proofErr w:type="spellStart"/>
      <w:r>
        <w:t>asphasia</w:t>
      </w:r>
      <w:proofErr w:type="spellEnd"/>
      <w:r>
        <w:t>), stop infusion and notify physician.</w:t>
      </w:r>
    </w:p>
    <w:p w:rsidR="002C5273" w:rsidRDefault="00B844FA" w:rsidP="001A5D09">
      <w:pPr>
        <w:pStyle w:val="BodyTextIndent"/>
        <w:numPr>
          <w:ilvl w:val="0"/>
          <w:numId w:val="5"/>
        </w:numPr>
        <w:suppressAutoHyphens/>
        <w:spacing w:after="0"/>
      </w:pPr>
      <w:r>
        <w:t xml:space="preserve">Observe tongue and oropharynx at 30 min, 45 min, 60 min and 75 min after onset of </w:t>
      </w:r>
      <w:proofErr w:type="spellStart"/>
      <w:r>
        <w:t>rt</w:t>
      </w:r>
      <w:proofErr w:type="spellEnd"/>
      <w:r>
        <w:t xml:space="preserve">-PA infusion.  If facial, tongue and/or pharyngeal angioedema, stop infusion and notify physician (See Appendix C for management guidelines). </w:t>
      </w:r>
    </w:p>
    <w:p w:rsidR="00D26096" w:rsidRDefault="00D26096" w:rsidP="00D26096">
      <w:pPr>
        <w:pStyle w:val="BodyTextIndent"/>
        <w:suppressAutoHyphens/>
        <w:spacing w:after="0"/>
        <w:ind w:left="360"/>
      </w:pPr>
    </w:p>
    <w:p w:rsidR="0019547F" w:rsidRPr="00135693" w:rsidRDefault="0019547F" w:rsidP="0019547F">
      <w:pPr>
        <w:pStyle w:val="BodyTextIndent"/>
        <w:suppressAutoHyphens/>
        <w:spacing w:after="0"/>
        <w:ind w:left="0"/>
        <w:rPr>
          <w:b/>
        </w:rPr>
      </w:pPr>
      <w:r w:rsidRPr="0019547F">
        <w:rPr>
          <w:b/>
        </w:rPr>
        <w:t xml:space="preserve">Table 3: </w:t>
      </w:r>
      <w:r w:rsidR="006855BE">
        <w:rPr>
          <w:b/>
        </w:rPr>
        <w:t xml:space="preserve">Additional </w:t>
      </w:r>
      <w:r w:rsidRPr="0019547F">
        <w:rPr>
          <w:b/>
        </w:rPr>
        <w:t xml:space="preserve">Specific Care of the </w:t>
      </w:r>
      <w:r w:rsidRPr="00135693">
        <w:rPr>
          <w:b/>
        </w:rPr>
        <w:t xml:space="preserve">Patient </w:t>
      </w:r>
      <w:r w:rsidR="006B6DAA" w:rsidRPr="00135693">
        <w:rPr>
          <w:b/>
        </w:rPr>
        <w:t>for</w:t>
      </w:r>
      <w:r w:rsidRPr="00135693">
        <w:rPr>
          <w:b/>
        </w:rPr>
        <w:t xml:space="preserve"> EVT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9547F" w:rsidRPr="00CA2F69" w:rsidTr="00B0221B">
        <w:trPr>
          <w:trHeight w:val="1435"/>
        </w:trPr>
        <w:tc>
          <w:tcPr>
            <w:tcW w:w="10173" w:type="dxa"/>
            <w:shd w:val="clear" w:color="auto" w:fill="auto"/>
          </w:tcPr>
          <w:p w:rsidR="0019547F" w:rsidRPr="00135693" w:rsidRDefault="0019547F" w:rsidP="00CA2F69">
            <w:pPr>
              <w:pStyle w:val="BodyTextIndent"/>
              <w:spacing w:after="0"/>
              <w:ind w:left="0"/>
              <w:rPr>
                <w:u w:val="single"/>
              </w:rPr>
            </w:pPr>
            <w:r w:rsidRPr="00135693">
              <w:rPr>
                <w:u w:val="single"/>
              </w:rPr>
              <w:t xml:space="preserve">Prep: </w:t>
            </w:r>
          </w:p>
          <w:p w:rsidR="0019547F" w:rsidRPr="00135693" w:rsidRDefault="000751AE" w:rsidP="006855BE">
            <w:pPr>
              <w:pStyle w:val="BodyTextIndent"/>
              <w:numPr>
                <w:ilvl w:val="0"/>
                <w:numId w:val="25"/>
              </w:numPr>
              <w:spacing w:after="0"/>
              <w:ind w:left="426" w:hanging="426"/>
            </w:pPr>
            <w:r w:rsidRPr="00135693">
              <w:t>Patient</w:t>
            </w:r>
            <w:r w:rsidR="00627958" w:rsidRPr="00135693">
              <w:t xml:space="preserve"> in hospital </w:t>
            </w:r>
            <w:r w:rsidR="0019547F" w:rsidRPr="00135693">
              <w:t>gown, no underwear</w:t>
            </w:r>
          </w:p>
          <w:p w:rsidR="00EB58EC" w:rsidRPr="00135693" w:rsidRDefault="00EB58EC" w:rsidP="006855BE">
            <w:pPr>
              <w:pStyle w:val="BodyTextIndent"/>
              <w:numPr>
                <w:ilvl w:val="0"/>
                <w:numId w:val="25"/>
              </w:numPr>
              <w:spacing w:after="0"/>
              <w:ind w:left="426" w:hanging="426"/>
            </w:pPr>
            <w:r w:rsidRPr="00135693">
              <w:t xml:space="preserve">Insert </w:t>
            </w:r>
            <w:proofErr w:type="spellStart"/>
            <w:r w:rsidRPr="00135693">
              <w:t>foley</w:t>
            </w:r>
            <w:proofErr w:type="spellEnd"/>
            <w:r w:rsidRPr="00135693">
              <w:t xml:space="preserve"> catheter </w:t>
            </w:r>
            <w:r w:rsidR="006B6DAA" w:rsidRPr="00135693">
              <w:t>(if receive</w:t>
            </w:r>
            <w:r w:rsidR="00467B0C" w:rsidRPr="00135693">
              <w:t>d</w:t>
            </w:r>
            <w:r w:rsidR="006B6DAA" w:rsidRPr="00135693">
              <w:t xml:space="preserve"> notification that patient is potential candidate for EVT)</w:t>
            </w:r>
          </w:p>
          <w:p w:rsidR="0019547F" w:rsidRDefault="00BF0933" w:rsidP="005552E4">
            <w:pPr>
              <w:pStyle w:val="BodyTextIndent"/>
              <w:numPr>
                <w:ilvl w:val="0"/>
                <w:numId w:val="25"/>
              </w:numPr>
              <w:spacing w:after="0"/>
              <w:ind w:left="426" w:hanging="426"/>
            </w:pPr>
            <w:r>
              <w:t xml:space="preserve">2 </w:t>
            </w:r>
            <w:r w:rsidR="0019547F" w:rsidRPr="00135693">
              <w:t>Working IV</w:t>
            </w:r>
            <w:r>
              <w:t>s</w:t>
            </w:r>
          </w:p>
          <w:p w:rsidR="00BA5E4E" w:rsidRPr="00135693" w:rsidRDefault="00BA5E4E" w:rsidP="00BA5E4E">
            <w:pPr>
              <w:pStyle w:val="BodyTextIndent"/>
              <w:numPr>
                <w:ilvl w:val="0"/>
                <w:numId w:val="25"/>
              </w:numPr>
              <w:spacing w:after="0"/>
              <w:ind w:left="426" w:hanging="426"/>
            </w:pPr>
            <w:r w:rsidRPr="00135693">
              <w:t>Shave prep both groins only if absolutely necessary-don’t delay procedure for shave prep</w:t>
            </w:r>
          </w:p>
        </w:tc>
      </w:tr>
      <w:tr w:rsidR="0019547F" w:rsidRPr="00CA2F69" w:rsidTr="009615E3">
        <w:trPr>
          <w:trHeight w:val="1945"/>
        </w:trPr>
        <w:tc>
          <w:tcPr>
            <w:tcW w:w="10173" w:type="dxa"/>
            <w:shd w:val="clear" w:color="auto" w:fill="auto"/>
          </w:tcPr>
          <w:p w:rsidR="0019547F" w:rsidRPr="00CA2F69" w:rsidRDefault="0019547F" w:rsidP="00CA2F69">
            <w:pPr>
              <w:pStyle w:val="BodyTextIndent"/>
              <w:spacing w:after="0"/>
              <w:ind w:left="0"/>
              <w:rPr>
                <w:u w:val="single"/>
              </w:rPr>
            </w:pPr>
            <w:r w:rsidRPr="00CA2F69">
              <w:rPr>
                <w:u w:val="single"/>
              </w:rPr>
              <w:t>Care during procedure:</w:t>
            </w:r>
          </w:p>
          <w:p w:rsidR="00135693" w:rsidRDefault="00387DA7" w:rsidP="005552E4">
            <w:pPr>
              <w:pStyle w:val="BodyTextIndent"/>
              <w:numPr>
                <w:ilvl w:val="0"/>
                <w:numId w:val="26"/>
              </w:numPr>
              <w:spacing w:after="0"/>
              <w:ind w:left="426" w:hanging="426"/>
            </w:pPr>
            <w:r>
              <w:t xml:space="preserve">Follow standard </w:t>
            </w:r>
            <w:r w:rsidR="0019547F" w:rsidRPr="0019547F">
              <w:t>IVR care processes</w:t>
            </w:r>
          </w:p>
          <w:p w:rsidR="00790B52" w:rsidRDefault="00BE7B41" w:rsidP="005552E4">
            <w:pPr>
              <w:pStyle w:val="BodyTextIndent"/>
              <w:numPr>
                <w:ilvl w:val="0"/>
                <w:numId w:val="26"/>
              </w:numPr>
              <w:spacing w:after="0"/>
              <w:ind w:left="426" w:hanging="426"/>
            </w:pPr>
            <w:r>
              <w:t xml:space="preserve">IVs </w:t>
            </w:r>
            <w:r w:rsidR="00135693">
              <w:t xml:space="preserve">infusing </w:t>
            </w:r>
            <w:r>
              <w:t xml:space="preserve">(consider 1 IV N/S </w:t>
            </w:r>
            <w:r w:rsidR="00135693">
              <w:t>at least 125cc/</w:t>
            </w:r>
            <w:proofErr w:type="spellStart"/>
            <w:r w:rsidR="00135693">
              <w:t>hr</w:t>
            </w:r>
            <w:proofErr w:type="spellEnd"/>
            <w:r>
              <w:t>)</w:t>
            </w:r>
          </w:p>
          <w:p w:rsidR="0019547F" w:rsidRPr="0019547F" w:rsidRDefault="00790B52" w:rsidP="005552E4">
            <w:pPr>
              <w:pStyle w:val="BodyTextIndent"/>
              <w:numPr>
                <w:ilvl w:val="0"/>
                <w:numId w:val="26"/>
              </w:numPr>
              <w:spacing w:after="0"/>
              <w:ind w:left="426" w:hanging="426"/>
            </w:pPr>
            <w:r>
              <w:t>Continuous cardiac monitoring</w:t>
            </w:r>
            <w:r w:rsidR="0019547F" w:rsidRPr="0019547F">
              <w:t xml:space="preserve"> </w:t>
            </w:r>
          </w:p>
          <w:p w:rsidR="0019547F" w:rsidRPr="00EB58EC" w:rsidRDefault="0019547F" w:rsidP="005552E4">
            <w:pPr>
              <w:pStyle w:val="BodyTextIndent"/>
              <w:numPr>
                <w:ilvl w:val="0"/>
                <w:numId w:val="26"/>
              </w:numPr>
              <w:spacing w:after="0"/>
              <w:ind w:left="426" w:hanging="426"/>
            </w:pPr>
            <w:r w:rsidRPr="0019547F">
              <w:t xml:space="preserve">Continuous BP monitoring </w:t>
            </w:r>
            <w:r w:rsidR="000569FF" w:rsidRPr="00EB58EC">
              <w:t xml:space="preserve">Target </w:t>
            </w:r>
            <w:r w:rsidR="004439DD" w:rsidRPr="00EB58EC">
              <w:t>SBP above 15</w:t>
            </w:r>
            <w:r w:rsidRPr="00EB58EC">
              <w:t>0 mmHg</w:t>
            </w:r>
            <w:r w:rsidR="00EB58EC" w:rsidRPr="00EB58EC">
              <w:t xml:space="preserve"> </w:t>
            </w:r>
            <w:r w:rsidRPr="00EB58EC">
              <w:t>during the procedure</w:t>
            </w:r>
            <w:r w:rsidR="004439DD" w:rsidRPr="00EB58EC">
              <w:t xml:space="preserve"> until reperfusion achieved</w:t>
            </w:r>
            <w:r w:rsidR="00135693">
              <w:t xml:space="preserve"> </w:t>
            </w:r>
          </w:p>
          <w:p w:rsidR="00790B52" w:rsidRPr="00BE7B41" w:rsidRDefault="004439DD" w:rsidP="00790B52">
            <w:pPr>
              <w:pStyle w:val="BodyTextIndent"/>
              <w:numPr>
                <w:ilvl w:val="0"/>
                <w:numId w:val="26"/>
              </w:numPr>
              <w:spacing w:after="0"/>
              <w:ind w:left="426" w:hanging="426"/>
              <w:rPr>
                <w:u w:val="single"/>
              </w:rPr>
            </w:pPr>
            <w:r>
              <w:t>Avoid intubation &amp;</w:t>
            </w:r>
            <w:r w:rsidR="0019547F" w:rsidRPr="0019547F">
              <w:t xml:space="preserve"> general anesthesia if possible. Conscious procedural sedation </w:t>
            </w:r>
            <w:r w:rsidR="002401F2">
              <w:t>as per Procedural Sedation Policy &amp; Procedural Sedation/Analgesia Order set</w:t>
            </w:r>
            <w:r w:rsidR="002401F2" w:rsidRPr="0019547F">
              <w:t xml:space="preserve"> may be all that is required.</w:t>
            </w:r>
            <w:r w:rsidR="002401F2">
              <w:t xml:space="preserve"> </w:t>
            </w:r>
            <w:r w:rsidR="0019547F" w:rsidRPr="0019547F">
              <w:t>Con</w:t>
            </w:r>
            <w:r w:rsidR="009615E3">
              <w:t xml:space="preserve">tinuous </w:t>
            </w:r>
            <w:r w:rsidR="002401F2">
              <w:t>Sp</w:t>
            </w:r>
            <w:r w:rsidR="009615E3">
              <w:t>O</w:t>
            </w:r>
            <w:r w:rsidR="0019547F" w:rsidRPr="009615E3">
              <w:rPr>
                <w:vertAlign w:val="subscript"/>
              </w:rPr>
              <w:t>2</w:t>
            </w:r>
            <w:r w:rsidR="0019547F" w:rsidRPr="0019547F">
              <w:t xml:space="preserve"> </w:t>
            </w:r>
            <w:r w:rsidR="002401F2">
              <w:t>monitoring &amp; titrate O</w:t>
            </w:r>
            <w:r w:rsidR="002401F2" w:rsidRPr="002401F2">
              <w:rPr>
                <w:vertAlign w:val="subscript"/>
              </w:rPr>
              <w:t>2</w:t>
            </w:r>
            <w:r w:rsidR="002401F2">
              <w:rPr>
                <w:vertAlign w:val="subscript"/>
              </w:rPr>
              <w:t xml:space="preserve"> </w:t>
            </w:r>
            <w:r w:rsidR="002401F2">
              <w:t>as per Oxygen Therapy Protocol</w:t>
            </w:r>
          </w:p>
          <w:p w:rsidR="00BE7B41" w:rsidRPr="00790B52" w:rsidRDefault="00BE7B41" w:rsidP="00790B52">
            <w:pPr>
              <w:pStyle w:val="BodyTextIndent"/>
              <w:numPr>
                <w:ilvl w:val="0"/>
                <w:numId w:val="26"/>
              </w:numPr>
              <w:spacing w:after="0"/>
              <w:ind w:left="426" w:hanging="426"/>
              <w:rPr>
                <w:u w:val="single"/>
              </w:rPr>
            </w:pPr>
            <w:r>
              <w:t xml:space="preserve">If IV </w:t>
            </w:r>
            <w:proofErr w:type="spellStart"/>
            <w:r>
              <w:t>rt</w:t>
            </w:r>
            <w:proofErr w:type="spellEnd"/>
            <w:r>
              <w:t>-PA administered(see above)-continue to observe for bleeding &amp; angioedema</w:t>
            </w:r>
          </w:p>
        </w:tc>
      </w:tr>
    </w:tbl>
    <w:p w:rsidR="002C5273" w:rsidRPr="006E14C6" w:rsidRDefault="002C5273" w:rsidP="0019547F">
      <w:pPr>
        <w:pStyle w:val="BodyTextIndent"/>
        <w:spacing w:after="0"/>
      </w:pPr>
    </w:p>
    <w:p w:rsidR="0066067D" w:rsidRDefault="0066067D">
      <w:pPr>
        <w:rPr>
          <w:b/>
          <w:color w:val="000000"/>
        </w:rPr>
      </w:pPr>
    </w:p>
    <w:p w:rsidR="00B0221B" w:rsidRDefault="00B0221B">
      <w:pPr>
        <w:rPr>
          <w:b/>
          <w:color w:val="000000"/>
        </w:rPr>
      </w:pPr>
    </w:p>
    <w:p w:rsidR="00B0221B" w:rsidRDefault="00B0221B">
      <w:pPr>
        <w:rPr>
          <w:b/>
          <w:color w:val="000000"/>
        </w:rPr>
      </w:pPr>
    </w:p>
    <w:p w:rsidR="00B0221B" w:rsidRDefault="00B0221B">
      <w:pPr>
        <w:rPr>
          <w:b/>
          <w:color w:val="000000"/>
        </w:rPr>
      </w:pPr>
    </w:p>
    <w:p w:rsidR="00B0221B" w:rsidRDefault="00B0221B">
      <w:pPr>
        <w:rPr>
          <w:b/>
          <w:color w:val="000000"/>
        </w:rPr>
      </w:pPr>
    </w:p>
    <w:p w:rsidR="00B844FA" w:rsidRPr="002C5273" w:rsidRDefault="005411DC">
      <w:pPr>
        <w:rPr>
          <w:b/>
          <w:color w:val="000000"/>
        </w:rPr>
      </w:pPr>
      <w:r>
        <w:rPr>
          <w:b/>
          <w:color w:val="000000"/>
        </w:rPr>
        <w:lastRenderedPageBreak/>
        <w:t>Care of the Patient for</w:t>
      </w:r>
      <w:r w:rsidR="00B0221B">
        <w:rPr>
          <w:b/>
          <w:color w:val="000000"/>
        </w:rPr>
        <w:t xml:space="preserve"> the first 24 hours f</w:t>
      </w:r>
      <w:r w:rsidR="00BE7B41">
        <w:rPr>
          <w:b/>
          <w:color w:val="000000"/>
        </w:rPr>
        <w:t xml:space="preserve">ollowing </w:t>
      </w:r>
      <w:proofErr w:type="spellStart"/>
      <w:r w:rsidR="00B844FA">
        <w:rPr>
          <w:b/>
          <w:color w:val="000000"/>
        </w:rPr>
        <w:t>rt</w:t>
      </w:r>
      <w:proofErr w:type="spellEnd"/>
      <w:r w:rsidR="00B844FA">
        <w:rPr>
          <w:b/>
          <w:color w:val="000000"/>
        </w:rPr>
        <w:t>-PA</w:t>
      </w:r>
      <w:r w:rsidR="00E20551">
        <w:rPr>
          <w:b/>
          <w:color w:val="000000"/>
        </w:rPr>
        <w:t xml:space="preserve"> +/- EVT (s</w:t>
      </w:r>
      <w:r w:rsidR="00E622AB">
        <w:rPr>
          <w:b/>
          <w:color w:val="000000"/>
        </w:rPr>
        <w:t>ee</w:t>
      </w:r>
      <w:r w:rsidR="0019547F">
        <w:rPr>
          <w:b/>
          <w:color w:val="000000"/>
        </w:rPr>
        <w:t xml:space="preserve"> Table 4</w:t>
      </w:r>
      <w:r w:rsidR="00E622AB">
        <w:rPr>
          <w:b/>
          <w:color w:val="000000"/>
        </w:rPr>
        <w:t xml:space="preserve"> bel</w:t>
      </w:r>
      <w:r w:rsidR="00A66C8F">
        <w:rPr>
          <w:b/>
          <w:color w:val="000000"/>
        </w:rPr>
        <w:t xml:space="preserve">ow for additional </w:t>
      </w:r>
      <w:r w:rsidR="00E622AB">
        <w:rPr>
          <w:b/>
          <w:color w:val="000000"/>
        </w:rPr>
        <w:t>post</w:t>
      </w:r>
      <w:r w:rsidR="00E20551">
        <w:rPr>
          <w:b/>
          <w:color w:val="000000"/>
        </w:rPr>
        <w:t xml:space="preserve"> EVT</w:t>
      </w:r>
      <w:r w:rsidR="00A66C8F">
        <w:rPr>
          <w:b/>
          <w:color w:val="000000"/>
        </w:rPr>
        <w:t xml:space="preserve"> care</w:t>
      </w:r>
      <w:r w:rsidR="00E20551">
        <w:rPr>
          <w:b/>
          <w:color w:val="000000"/>
        </w:rPr>
        <w:t>)</w:t>
      </w:r>
    </w:p>
    <w:p w:rsidR="00B844FA" w:rsidRPr="00D12268" w:rsidRDefault="00B0221B" w:rsidP="005E0DA8">
      <w:pPr>
        <w:numPr>
          <w:ilvl w:val="0"/>
          <w:numId w:val="18"/>
        </w:numPr>
      </w:pPr>
      <w:r>
        <w:t>T</w:t>
      </w:r>
      <w:r w:rsidR="009F5AC1" w:rsidRPr="00D12268">
        <w:t xml:space="preserve">ransfer to D4-ICU </w:t>
      </w:r>
      <w:r w:rsidR="00B844FA" w:rsidRPr="00D12268">
        <w:t>as soon as possible</w:t>
      </w:r>
      <w:r w:rsidR="005E0DA8">
        <w:t xml:space="preserve">. </w:t>
      </w:r>
    </w:p>
    <w:p w:rsidR="00B844FA" w:rsidRPr="00082C30" w:rsidRDefault="00B844FA" w:rsidP="005552E4">
      <w:pPr>
        <w:numPr>
          <w:ilvl w:val="0"/>
          <w:numId w:val="18"/>
        </w:numPr>
      </w:pPr>
      <w:r w:rsidRPr="00082C30">
        <w:t>Vitals and neurological assessment</w:t>
      </w:r>
      <w:r w:rsidR="007C3030" w:rsidRPr="00082C30">
        <w:t xml:space="preserve"> (Canadian Neurological Scale</w:t>
      </w:r>
      <w:r w:rsidR="005E0DA8" w:rsidRPr="00082C30">
        <w:t xml:space="preserve"> (CNS)</w:t>
      </w:r>
      <w:r w:rsidR="007C3030" w:rsidRPr="00082C30">
        <w:t>)</w:t>
      </w:r>
      <w:r w:rsidRPr="00082C30">
        <w:t xml:space="preserve"> </w:t>
      </w:r>
      <w:r w:rsidR="00876CE1" w:rsidRPr="00082C30">
        <w:t xml:space="preserve">q 15 min x 2 hours then </w:t>
      </w:r>
      <w:r w:rsidRPr="00082C30">
        <w:t xml:space="preserve">q </w:t>
      </w:r>
      <w:r w:rsidR="003658D9" w:rsidRPr="00082C30">
        <w:t>60 minutes x 22 hours.</w:t>
      </w:r>
      <w:r w:rsidR="00E622AB" w:rsidRPr="00082C30">
        <w:t xml:space="preserve"> Notify physician if CNS &gt;1 or change in neurological status</w:t>
      </w:r>
      <w:r w:rsidR="00C65843" w:rsidRPr="00082C30">
        <w:t>.</w:t>
      </w:r>
    </w:p>
    <w:p w:rsidR="00B844FA" w:rsidRPr="00082C30" w:rsidRDefault="00E20551" w:rsidP="005552E4">
      <w:pPr>
        <w:numPr>
          <w:ilvl w:val="0"/>
          <w:numId w:val="18"/>
        </w:numPr>
      </w:pPr>
      <w:r w:rsidRPr="00082C30">
        <w:t xml:space="preserve">Continuous cardiac </w:t>
      </w:r>
      <w:r w:rsidR="00B844FA" w:rsidRPr="00082C30">
        <w:t>monitoring and O</w:t>
      </w:r>
      <w:r w:rsidR="00B844FA" w:rsidRPr="00082C30">
        <w:rPr>
          <w:vertAlign w:val="subscript"/>
        </w:rPr>
        <w:t>2</w:t>
      </w:r>
      <w:r w:rsidR="00B844FA" w:rsidRPr="00082C30">
        <w:t xml:space="preserve"> sat monitoring</w:t>
      </w:r>
      <w:r w:rsidR="00C65843" w:rsidRPr="00082C30">
        <w:t>.</w:t>
      </w:r>
    </w:p>
    <w:p w:rsidR="00B844FA" w:rsidRPr="00082C30" w:rsidRDefault="00B844FA" w:rsidP="005552E4">
      <w:pPr>
        <w:numPr>
          <w:ilvl w:val="0"/>
          <w:numId w:val="18"/>
        </w:numPr>
      </w:pPr>
      <w:r w:rsidRPr="00082C30">
        <w:t>Moni</w:t>
      </w:r>
      <w:r w:rsidR="006C10DD" w:rsidRPr="00082C30">
        <w:t>tor for bleeding/hematoma (see Table 4 &amp; Appendix B</w:t>
      </w:r>
      <w:r w:rsidRPr="00082C30">
        <w:t>)</w:t>
      </w:r>
      <w:r w:rsidR="00C65843" w:rsidRPr="00082C30">
        <w:t>.</w:t>
      </w:r>
    </w:p>
    <w:p w:rsidR="00B844FA" w:rsidRPr="00082C30" w:rsidRDefault="00B844FA" w:rsidP="005552E4">
      <w:pPr>
        <w:numPr>
          <w:ilvl w:val="0"/>
          <w:numId w:val="22"/>
        </w:numPr>
      </w:pPr>
      <w:r w:rsidRPr="00082C30">
        <w:t>Internal bleeding (GI, GU), oozing IV sites, oral bleeding</w:t>
      </w:r>
      <w:r w:rsidR="00A66C8F" w:rsidRPr="00082C30">
        <w:t>, skin</w:t>
      </w:r>
      <w:r w:rsidR="006C10DD" w:rsidRPr="00082C30">
        <w:t xml:space="preserve">, groin site </w:t>
      </w:r>
    </w:p>
    <w:p w:rsidR="00B844FA" w:rsidRPr="00082C30" w:rsidRDefault="00B844FA" w:rsidP="005552E4">
      <w:pPr>
        <w:pStyle w:val="BodyText"/>
        <w:numPr>
          <w:ilvl w:val="0"/>
          <w:numId w:val="18"/>
        </w:numPr>
        <w:rPr>
          <w:rFonts w:cs="Times New Roman"/>
          <w:b w:val="0"/>
          <w:bCs w:val="0"/>
          <w:i w:val="0"/>
          <w:iCs w:val="0"/>
        </w:rPr>
      </w:pPr>
      <w:r w:rsidRPr="00082C30">
        <w:rPr>
          <w:rFonts w:cs="Times New Roman"/>
          <w:b w:val="0"/>
          <w:bCs w:val="0"/>
          <w:i w:val="0"/>
          <w:iCs w:val="0"/>
        </w:rPr>
        <w:t xml:space="preserve">Monitor for angioedema </w:t>
      </w:r>
      <w:r w:rsidR="00876CE1" w:rsidRPr="00082C30">
        <w:rPr>
          <w:rFonts w:cs="Times New Roman"/>
          <w:b w:val="0"/>
          <w:bCs w:val="0"/>
          <w:i w:val="0"/>
          <w:iCs w:val="0"/>
        </w:rPr>
        <w:t>at 30, 45, 60 and 75 min</w:t>
      </w:r>
      <w:r w:rsidR="00D77B45" w:rsidRPr="00082C30">
        <w:rPr>
          <w:rFonts w:cs="Times New Roman"/>
          <w:b w:val="0"/>
          <w:bCs w:val="0"/>
          <w:i w:val="0"/>
          <w:iCs w:val="0"/>
        </w:rPr>
        <w:t xml:space="preserve">s, then q4-6 h for 24 hours </w:t>
      </w:r>
      <w:r w:rsidRPr="00082C30">
        <w:rPr>
          <w:rFonts w:cs="Times New Roman"/>
          <w:b w:val="0"/>
          <w:bCs w:val="0"/>
          <w:i w:val="0"/>
          <w:iCs w:val="0"/>
        </w:rPr>
        <w:t>(See Appendix C)</w:t>
      </w:r>
      <w:r w:rsidR="00C65843" w:rsidRPr="00082C30">
        <w:rPr>
          <w:rFonts w:cs="Times New Roman"/>
          <w:b w:val="0"/>
          <w:bCs w:val="0"/>
          <w:i w:val="0"/>
          <w:iCs w:val="0"/>
        </w:rPr>
        <w:t>.</w:t>
      </w:r>
    </w:p>
    <w:p w:rsidR="00B844FA" w:rsidRPr="00082C30" w:rsidRDefault="00B844FA" w:rsidP="005552E4">
      <w:pPr>
        <w:pStyle w:val="BodyText"/>
        <w:numPr>
          <w:ilvl w:val="0"/>
          <w:numId w:val="18"/>
        </w:numPr>
        <w:rPr>
          <w:rFonts w:cs="Times New Roman"/>
          <w:b w:val="0"/>
          <w:bCs w:val="0"/>
          <w:i w:val="0"/>
          <w:iCs w:val="0"/>
        </w:rPr>
      </w:pPr>
      <w:r w:rsidRPr="00082C30">
        <w:rPr>
          <w:rFonts w:cs="Times New Roman"/>
          <w:b w:val="0"/>
          <w:bCs w:val="0"/>
          <w:i w:val="0"/>
          <w:iCs w:val="0"/>
        </w:rPr>
        <w:t>Bed rest</w:t>
      </w:r>
      <w:r w:rsidR="00D26096" w:rsidRPr="00082C30">
        <w:rPr>
          <w:rFonts w:cs="Times New Roman"/>
          <w:b w:val="0"/>
          <w:bCs w:val="0"/>
          <w:i w:val="0"/>
          <w:iCs w:val="0"/>
        </w:rPr>
        <w:t>-No TEDs</w:t>
      </w:r>
      <w:r w:rsidR="005E0DA8" w:rsidRPr="00082C30">
        <w:rPr>
          <w:rFonts w:cs="Times New Roman"/>
          <w:b w:val="0"/>
          <w:bCs w:val="0"/>
          <w:i w:val="0"/>
          <w:iCs w:val="0"/>
        </w:rPr>
        <w:t>.</w:t>
      </w:r>
    </w:p>
    <w:p w:rsidR="00B844FA" w:rsidRPr="00082C30" w:rsidRDefault="00E20551" w:rsidP="005552E4">
      <w:pPr>
        <w:numPr>
          <w:ilvl w:val="0"/>
          <w:numId w:val="18"/>
        </w:numPr>
      </w:pPr>
      <w:r w:rsidRPr="00082C30">
        <w:t xml:space="preserve">IV 0.9 </w:t>
      </w:r>
      <w:proofErr w:type="spellStart"/>
      <w:r w:rsidRPr="00082C30">
        <w:t>NaCl</w:t>
      </w:r>
      <w:proofErr w:type="spellEnd"/>
      <w:r w:rsidRPr="00082C30">
        <w:t xml:space="preserve"> @ 75 cc/</w:t>
      </w:r>
      <w:proofErr w:type="spellStart"/>
      <w:r w:rsidRPr="00082C30">
        <w:t>hr</w:t>
      </w:r>
      <w:proofErr w:type="spellEnd"/>
      <w:r w:rsidRPr="00082C30">
        <w:t xml:space="preserve"> or as directed by physician</w:t>
      </w:r>
      <w:r w:rsidR="00C65843" w:rsidRPr="00082C30">
        <w:t>.</w:t>
      </w:r>
    </w:p>
    <w:p w:rsidR="00B844FA" w:rsidRPr="00082C30" w:rsidRDefault="00B844FA" w:rsidP="005552E4">
      <w:pPr>
        <w:numPr>
          <w:ilvl w:val="0"/>
          <w:numId w:val="18"/>
        </w:numPr>
      </w:pPr>
      <w:r w:rsidRPr="00082C30">
        <w:t xml:space="preserve">NPO </w:t>
      </w:r>
      <w:r w:rsidR="003658D9" w:rsidRPr="00082C30">
        <w:t>including no oral medications until swallow</w:t>
      </w:r>
      <w:r w:rsidR="00E20551" w:rsidRPr="00082C30">
        <w:t>ing ability has been determined</w:t>
      </w:r>
      <w:r w:rsidR="00F05238" w:rsidRPr="00082C30">
        <w:t>.</w:t>
      </w:r>
    </w:p>
    <w:p w:rsidR="00B844FA" w:rsidRPr="00082C30" w:rsidRDefault="00E20551" w:rsidP="005552E4">
      <w:pPr>
        <w:numPr>
          <w:ilvl w:val="0"/>
          <w:numId w:val="18"/>
        </w:numPr>
      </w:pPr>
      <w:r w:rsidRPr="00082C30">
        <w:t xml:space="preserve">Report BP &gt; 180 mmHg systolic, or &gt; 105 </w:t>
      </w:r>
      <w:r w:rsidR="00B844FA" w:rsidRPr="00082C30">
        <w:t>mmHg diastolic (See Appendix A for suggested management)</w:t>
      </w:r>
      <w:r w:rsidR="007C3030" w:rsidRPr="00082C30">
        <w:t>.</w:t>
      </w:r>
      <w:r w:rsidR="00A66C8F" w:rsidRPr="00082C30">
        <w:t xml:space="preserve"> Report SBP &lt;110mmHg or &lt; 60 mmHg diastolic</w:t>
      </w:r>
      <w:r w:rsidR="00F05238" w:rsidRPr="00082C30">
        <w:t>.</w:t>
      </w:r>
    </w:p>
    <w:p w:rsidR="006C10DD" w:rsidRPr="00082C30" w:rsidRDefault="006C10DD" w:rsidP="005552E4">
      <w:pPr>
        <w:numPr>
          <w:ilvl w:val="0"/>
          <w:numId w:val="18"/>
        </w:numPr>
      </w:pPr>
      <w:r w:rsidRPr="00082C30">
        <w:t>Report HR&lt; 50</w:t>
      </w:r>
      <w:r w:rsidR="00D30B44" w:rsidRPr="00082C30">
        <w:t xml:space="preserve"> </w:t>
      </w:r>
      <w:r w:rsidRPr="00082C30">
        <w:t>bpm</w:t>
      </w:r>
    </w:p>
    <w:p w:rsidR="00B844FA" w:rsidRPr="00082C30" w:rsidRDefault="00B844FA" w:rsidP="005552E4">
      <w:pPr>
        <w:numPr>
          <w:ilvl w:val="0"/>
          <w:numId w:val="18"/>
        </w:numPr>
      </w:pPr>
      <w:r w:rsidRPr="00082C30">
        <w:t>Report temperature &gt; 37.5</w:t>
      </w:r>
      <w:r w:rsidRPr="00082C30">
        <w:sym w:font="Symbol" w:char="F0B0"/>
      </w:r>
      <w:r w:rsidRPr="00082C30">
        <w:t>C</w:t>
      </w:r>
      <w:r w:rsidR="00F05238" w:rsidRPr="00082C30">
        <w:t>.</w:t>
      </w:r>
    </w:p>
    <w:p w:rsidR="00D840BB" w:rsidRPr="00082C30" w:rsidRDefault="00B844FA" w:rsidP="005552E4">
      <w:pPr>
        <w:numPr>
          <w:ilvl w:val="0"/>
          <w:numId w:val="18"/>
        </w:numPr>
      </w:pPr>
      <w:r w:rsidRPr="00082C30">
        <w:t>Acetaminophen 650 mg PO/PR q4 h prn for temperature &gt; 37.5</w:t>
      </w:r>
      <w:r w:rsidRPr="00082C30">
        <w:sym w:font="Symbol" w:char="F0B0"/>
      </w:r>
      <w:r w:rsidR="009615E3" w:rsidRPr="00082C30">
        <w:t>C or pain</w:t>
      </w:r>
      <w:r w:rsidR="00F05238" w:rsidRPr="00082C30">
        <w:t>.</w:t>
      </w:r>
    </w:p>
    <w:p w:rsidR="00B844FA" w:rsidRPr="00082C30" w:rsidRDefault="009615E3" w:rsidP="005552E4">
      <w:pPr>
        <w:numPr>
          <w:ilvl w:val="0"/>
          <w:numId w:val="18"/>
        </w:numPr>
      </w:pPr>
      <w:r w:rsidRPr="00082C30">
        <w:t>Report RR &gt; 24/minute, or Sp</w:t>
      </w:r>
      <w:r w:rsidR="00B844FA" w:rsidRPr="00082C30">
        <w:t>O</w:t>
      </w:r>
      <w:r w:rsidR="00B844FA" w:rsidRPr="00082C30">
        <w:rPr>
          <w:vertAlign w:val="subscript"/>
        </w:rPr>
        <w:t xml:space="preserve">2 </w:t>
      </w:r>
      <w:r w:rsidR="00B844FA" w:rsidRPr="00082C30">
        <w:t>less than</w:t>
      </w:r>
      <w:r w:rsidR="003658D9" w:rsidRPr="00082C30">
        <w:t xml:space="preserve"> 88%.</w:t>
      </w:r>
    </w:p>
    <w:p w:rsidR="00B844FA" w:rsidRPr="00082C30" w:rsidRDefault="00B844FA" w:rsidP="005552E4">
      <w:pPr>
        <w:numPr>
          <w:ilvl w:val="0"/>
          <w:numId w:val="18"/>
        </w:numPr>
      </w:pPr>
      <w:r w:rsidRPr="00082C30">
        <w:t xml:space="preserve">If sudden deterioration in neurological function or evidence of systemic </w:t>
      </w:r>
    </w:p>
    <w:p w:rsidR="00B844FA" w:rsidRPr="00082C30" w:rsidRDefault="00B844FA" w:rsidP="00597F31">
      <w:pPr>
        <w:ind w:firstLine="360"/>
      </w:pPr>
      <w:proofErr w:type="gramStart"/>
      <w:r w:rsidRPr="00082C30">
        <w:t>hemorrhage</w:t>
      </w:r>
      <w:proofErr w:type="gramEnd"/>
      <w:r w:rsidRPr="00082C30">
        <w:t>, con</w:t>
      </w:r>
      <w:r w:rsidR="00597F31" w:rsidRPr="00082C30">
        <w:t>sider:</w:t>
      </w:r>
    </w:p>
    <w:p w:rsidR="00B844FA" w:rsidRPr="00082C30" w:rsidRDefault="00B844FA" w:rsidP="005552E4">
      <w:pPr>
        <w:numPr>
          <w:ilvl w:val="0"/>
          <w:numId w:val="19"/>
        </w:numPr>
      </w:pPr>
      <w:r w:rsidRPr="00082C30">
        <w:t>Stat CT scan</w:t>
      </w:r>
    </w:p>
    <w:p w:rsidR="00B844FA" w:rsidRPr="00082C30" w:rsidRDefault="00B844FA" w:rsidP="005552E4">
      <w:pPr>
        <w:numPr>
          <w:ilvl w:val="0"/>
          <w:numId w:val="20"/>
        </w:numPr>
      </w:pPr>
      <w:r w:rsidRPr="00082C30">
        <w:t>Stat CBC, PTT, PT, INR, fibrinogen</w:t>
      </w:r>
    </w:p>
    <w:p w:rsidR="00B844FA" w:rsidRPr="00082C30" w:rsidRDefault="00B844FA" w:rsidP="005552E4">
      <w:pPr>
        <w:numPr>
          <w:ilvl w:val="0"/>
          <w:numId w:val="21"/>
        </w:numPr>
      </w:pPr>
      <w:r w:rsidRPr="00082C30">
        <w:t>Cryoprecipitate</w:t>
      </w:r>
    </w:p>
    <w:p w:rsidR="00B844FA" w:rsidRPr="00082C30" w:rsidRDefault="00B844FA" w:rsidP="005552E4">
      <w:pPr>
        <w:numPr>
          <w:ilvl w:val="0"/>
          <w:numId w:val="18"/>
        </w:numPr>
      </w:pPr>
      <w:r w:rsidRPr="00082C30">
        <w:t>Monitor for seizures</w:t>
      </w:r>
      <w:r w:rsidR="003658D9" w:rsidRPr="00082C30">
        <w:t xml:space="preserve"> such as: a decrease in level of consciousness, focal motor activity, prolonged uncoordinated not sustained thrashing of limbs, side to side head m</w:t>
      </w:r>
      <w:r w:rsidR="009615E3" w:rsidRPr="00082C30">
        <w:t>ovements, or extensor posturing</w:t>
      </w:r>
      <w:r w:rsidR="00F05238" w:rsidRPr="00082C30">
        <w:t>.</w:t>
      </w:r>
    </w:p>
    <w:p w:rsidR="00B844FA" w:rsidRPr="00082C30" w:rsidRDefault="00D77B45" w:rsidP="005552E4">
      <w:pPr>
        <w:numPr>
          <w:ilvl w:val="0"/>
          <w:numId w:val="18"/>
        </w:numPr>
      </w:pPr>
      <w:r w:rsidRPr="00082C30">
        <w:rPr>
          <w:noProof/>
        </w:rPr>
        <w:t xml:space="preserve">Repeat serum glucose if </w:t>
      </w:r>
      <w:r w:rsidRPr="00082C30">
        <w:rPr>
          <w:noProof/>
          <w:u w:val="single"/>
        </w:rPr>
        <w:t xml:space="preserve">first </w:t>
      </w:r>
      <w:r w:rsidRPr="00082C30">
        <w:rPr>
          <w:noProof/>
        </w:rPr>
        <w:t xml:space="preserve">random blood glucose is greater than 10 mmol/L. </w:t>
      </w:r>
    </w:p>
    <w:p w:rsidR="00B844FA" w:rsidRDefault="00B844FA" w:rsidP="005552E4">
      <w:pPr>
        <w:numPr>
          <w:ilvl w:val="0"/>
          <w:numId w:val="18"/>
        </w:numPr>
      </w:pPr>
      <w:r>
        <w:rPr>
          <w:noProof/>
        </w:rPr>
        <w:t xml:space="preserve">Notify physician for blood glucose less than </w:t>
      </w:r>
      <w:r w:rsidR="002D469A" w:rsidRPr="00992E33">
        <w:rPr>
          <w:noProof/>
        </w:rPr>
        <w:t>5</w:t>
      </w:r>
      <w:r w:rsidR="002D469A">
        <w:rPr>
          <w:noProof/>
        </w:rPr>
        <w:t xml:space="preserve"> </w:t>
      </w:r>
      <w:r>
        <w:rPr>
          <w:noProof/>
        </w:rPr>
        <w:t xml:space="preserve">mmol/L or greater than or equal to </w:t>
      </w:r>
      <w:r w:rsidR="003658D9">
        <w:rPr>
          <w:noProof/>
        </w:rPr>
        <w:t xml:space="preserve">10 </w:t>
      </w:r>
      <w:r>
        <w:rPr>
          <w:noProof/>
        </w:rPr>
        <w:t>mmol/L</w:t>
      </w:r>
      <w:r w:rsidR="007C3030">
        <w:rPr>
          <w:noProof/>
        </w:rPr>
        <w:t>.</w:t>
      </w:r>
    </w:p>
    <w:p w:rsidR="00B844FA" w:rsidRDefault="00886EED" w:rsidP="005552E4">
      <w:pPr>
        <w:numPr>
          <w:ilvl w:val="0"/>
          <w:numId w:val="18"/>
        </w:numPr>
      </w:pPr>
      <w:r>
        <w:t xml:space="preserve">ALT, </w:t>
      </w:r>
      <w:r w:rsidR="006C10DD">
        <w:t>lipid profile (</w:t>
      </w:r>
      <w:r w:rsidR="00B844FA">
        <w:t>total cholesterol, HDL/LDL ratio, triglycerides</w:t>
      </w:r>
      <w:r w:rsidR="006C10DD">
        <w:t>), &amp;</w:t>
      </w:r>
      <w:r w:rsidR="00B844FA">
        <w:t xml:space="preserve"> </w:t>
      </w:r>
      <w:r w:rsidR="00CA0096">
        <w:t>HbA1c</w:t>
      </w:r>
      <w:r w:rsidR="006C10DD">
        <w:t xml:space="preserve"> next morning</w:t>
      </w:r>
      <w:r w:rsidR="00F05238">
        <w:t>.</w:t>
      </w:r>
    </w:p>
    <w:p w:rsidR="00B844FA" w:rsidRPr="00EB58EC" w:rsidRDefault="00EB58EC" w:rsidP="005552E4">
      <w:pPr>
        <w:numPr>
          <w:ilvl w:val="0"/>
          <w:numId w:val="18"/>
        </w:numPr>
      </w:pPr>
      <w:r w:rsidRPr="00EB58EC">
        <w:t xml:space="preserve">Hold patient’s </w:t>
      </w:r>
      <w:r w:rsidR="00D30B44">
        <w:t xml:space="preserve">PO </w:t>
      </w:r>
      <w:r w:rsidRPr="00EB58EC">
        <w:t xml:space="preserve">medications as previously prescribed since </w:t>
      </w:r>
      <w:r w:rsidR="009615E3" w:rsidRPr="00EB58EC">
        <w:t xml:space="preserve">patient </w:t>
      </w:r>
      <w:r w:rsidRPr="00EB58EC">
        <w:t xml:space="preserve">is </w:t>
      </w:r>
      <w:r w:rsidR="009615E3" w:rsidRPr="00EB58EC">
        <w:t>NPO</w:t>
      </w:r>
      <w:r w:rsidR="00C65843">
        <w:t xml:space="preserve"> for 24 hours.</w:t>
      </w:r>
      <w:r w:rsidRPr="00EB58EC">
        <w:t xml:space="preserve"> </w:t>
      </w:r>
    </w:p>
    <w:p w:rsidR="00CC7130" w:rsidRPr="00EB58EC" w:rsidRDefault="006129C2" w:rsidP="009615E3">
      <w:pPr>
        <w:pStyle w:val="BodyTextIndent"/>
        <w:numPr>
          <w:ilvl w:val="0"/>
          <w:numId w:val="18"/>
        </w:numPr>
        <w:suppressAutoHyphens/>
        <w:spacing w:after="0"/>
      </w:pPr>
      <w:r w:rsidRPr="00EB58EC">
        <w:t xml:space="preserve">No antiplatelet agents (ASA, </w:t>
      </w:r>
      <w:proofErr w:type="spellStart"/>
      <w:r w:rsidRPr="00EB58EC">
        <w:t>clopidogrel</w:t>
      </w:r>
      <w:proofErr w:type="spellEnd"/>
      <w:r w:rsidRPr="00EB58EC">
        <w:t xml:space="preserve">, </w:t>
      </w:r>
      <w:proofErr w:type="spellStart"/>
      <w:r w:rsidRPr="00EB58EC">
        <w:t>ticlopidine</w:t>
      </w:r>
      <w:proofErr w:type="spellEnd"/>
      <w:r w:rsidRPr="00EB58EC">
        <w:t xml:space="preserve">, </w:t>
      </w:r>
      <w:proofErr w:type="spellStart"/>
      <w:r w:rsidRPr="00EB58EC">
        <w:t>aggrenox</w:t>
      </w:r>
      <w:proofErr w:type="spellEnd"/>
      <w:r w:rsidRPr="00EB58EC">
        <w:t xml:space="preserve">, dipyridamole) for 24 hours &amp; until 1 brain image shows </w:t>
      </w:r>
      <w:proofErr w:type="gramStart"/>
      <w:r w:rsidRPr="00EB58EC">
        <w:t>no</w:t>
      </w:r>
      <w:proofErr w:type="gramEnd"/>
      <w:r w:rsidRPr="00EB58EC">
        <w:t xml:space="preserve"> evidence of hemorrhage.  No anticoagulant agents</w:t>
      </w:r>
      <w:r w:rsidR="00EB58EC" w:rsidRPr="00EB58EC">
        <w:t xml:space="preserve"> </w:t>
      </w:r>
      <w:r w:rsidRPr="00EB58EC">
        <w:t>(e.g.,</w:t>
      </w:r>
      <w:r w:rsidR="00EB58EC">
        <w:t xml:space="preserve"> </w:t>
      </w:r>
      <w:r w:rsidRPr="00EB58EC">
        <w:t xml:space="preserve">warfarin, enoxaparin, </w:t>
      </w:r>
      <w:proofErr w:type="spellStart"/>
      <w:r w:rsidRPr="00EB58EC">
        <w:t>dalteparin</w:t>
      </w:r>
      <w:proofErr w:type="spellEnd"/>
      <w:r w:rsidRPr="00EB58EC">
        <w:t>, heparin,</w:t>
      </w:r>
      <w:r w:rsidR="00EB58EC" w:rsidRPr="00EB58EC">
        <w:t xml:space="preserve"> &amp; DOACs (e.g.,</w:t>
      </w:r>
      <w:r w:rsidRPr="00EB58EC">
        <w:t xml:space="preserve"> dabigatran, rivaroxaban, </w:t>
      </w:r>
      <w:proofErr w:type="spellStart"/>
      <w:r w:rsidRPr="00EB58EC">
        <w:t>apixaban</w:t>
      </w:r>
      <w:proofErr w:type="spellEnd"/>
      <w:r w:rsidRPr="00EB58EC">
        <w:t>) for at least 24 hours</w:t>
      </w:r>
      <w:r w:rsidR="00EB58EC" w:rsidRPr="00EB58EC">
        <w:t xml:space="preserve"> &amp; </w:t>
      </w:r>
      <w:r w:rsidR="00AF32FD">
        <w:t xml:space="preserve">until 1 </w:t>
      </w:r>
      <w:r w:rsidRPr="00EB58EC">
        <w:t xml:space="preserve">brain image shows no evidence of hemorrhage. </w:t>
      </w:r>
    </w:p>
    <w:p w:rsidR="00B844FA" w:rsidRDefault="00B844FA" w:rsidP="005552E4">
      <w:pPr>
        <w:pStyle w:val="BodyTextIndent"/>
        <w:numPr>
          <w:ilvl w:val="0"/>
          <w:numId w:val="18"/>
        </w:numPr>
        <w:suppressAutoHyphens/>
        <w:spacing w:after="0"/>
      </w:pPr>
      <w:r>
        <w:t>No arterial punctures, intramuscular injections or invasive procedures for 24 hours</w:t>
      </w:r>
      <w:r w:rsidR="00F05238">
        <w:t>.</w:t>
      </w:r>
    </w:p>
    <w:p w:rsidR="00B844FA" w:rsidRPr="00AF32FD" w:rsidRDefault="00B844FA" w:rsidP="005552E4">
      <w:pPr>
        <w:numPr>
          <w:ilvl w:val="0"/>
          <w:numId w:val="18"/>
        </w:numPr>
        <w:suppressAutoHyphens/>
      </w:pPr>
      <w:r w:rsidRPr="00AF32FD">
        <w:t>If arterial sheath in place, remove in accordance with physician orders</w:t>
      </w:r>
      <w:r w:rsidR="009615E3" w:rsidRPr="00AF32FD">
        <w:t xml:space="preserve"> (see below)</w:t>
      </w:r>
      <w:r w:rsidR="00F05238">
        <w:t>.</w:t>
      </w:r>
      <w:r w:rsidR="00E20551" w:rsidRPr="00AF32FD">
        <w:t xml:space="preserve"> </w:t>
      </w:r>
    </w:p>
    <w:p w:rsidR="00B844FA" w:rsidRPr="006C10DD" w:rsidRDefault="00CF529E" w:rsidP="00BF0933">
      <w:pPr>
        <w:numPr>
          <w:ilvl w:val="0"/>
          <w:numId w:val="18"/>
        </w:numPr>
        <w:suppressAutoHyphens/>
      </w:pPr>
      <w:r>
        <w:rPr>
          <w:szCs w:val="20"/>
        </w:rPr>
        <w:t>Repeat CT at</w:t>
      </w:r>
      <w:r w:rsidR="00B844FA">
        <w:rPr>
          <w:szCs w:val="20"/>
        </w:rPr>
        <w:t xml:space="preserve"> 24 hours following </w:t>
      </w:r>
      <w:proofErr w:type="spellStart"/>
      <w:r w:rsidR="00B844FA">
        <w:rPr>
          <w:szCs w:val="20"/>
        </w:rPr>
        <w:t>rt</w:t>
      </w:r>
      <w:proofErr w:type="spellEnd"/>
      <w:r w:rsidR="00B844FA">
        <w:rPr>
          <w:szCs w:val="20"/>
        </w:rPr>
        <w:t xml:space="preserve">-PA </w:t>
      </w:r>
      <w:r>
        <w:rPr>
          <w:szCs w:val="20"/>
        </w:rPr>
        <w:t>or i</w:t>
      </w:r>
      <w:r w:rsidR="004439DD">
        <w:rPr>
          <w:szCs w:val="20"/>
        </w:rPr>
        <w:t xml:space="preserve">f sudden deterioration in neurological </w:t>
      </w:r>
      <w:r>
        <w:rPr>
          <w:szCs w:val="20"/>
        </w:rPr>
        <w:t>status</w:t>
      </w:r>
      <w:r w:rsidR="00F05238">
        <w:rPr>
          <w:szCs w:val="20"/>
        </w:rPr>
        <w:t>.</w:t>
      </w:r>
    </w:p>
    <w:p w:rsidR="006C10DD" w:rsidRPr="00D26096" w:rsidRDefault="006C10DD" w:rsidP="00BF0933">
      <w:pPr>
        <w:numPr>
          <w:ilvl w:val="0"/>
          <w:numId w:val="18"/>
        </w:numPr>
        <w:suppressAutoHyphens/>
      </w:pPr>
      <w:r>
        <w:rPr>
          <w:szCs w:val="20"/>
        </w:rPr>
        <w:t xml:space="preserve">Assess removal of indwelling urinary catheter at 24 hours, if in place. </w:t>
      </w:r>
    </w:p>
    <w:p w:rsidR="00D26096" w:rsidRDefault="00D26096" w:rsidP="00D26096">
      <w:pPr>
        <w:suppressAutoHyphens/>
        <w:ind w:left="360"/>
      </w:pPr>
    </w:p>
    <w:p w:rsidR="00F5218C" w:rsidRDefault="00F5218C" w:rsidP="00D26096">
      <w:pPr>
        <w:suppressAutoHyphens/>
        <w:ind w:left="360"/>
      </w:pPr>
    </w:p>
    <w:p w:rsidR="00F5218C" w:rsidRDefault="00F5218C" w:rsidP="00D26096">
      <w:pPr>
        <w:suppressAutoHyphens/>
        <w:ind w:left="360"/>
      </w:pPr>
    </w:p>
    <w:p w:rsidR="00F5218C" w:rsidRDefault="00F5218C" w:rsidP="00D26096">
      <w:pPr>
        <w:suppressAutoHyphens/>
        <w:ind w:left="360"/>
      </w:pPr>
    </w:p>
    <w:p w:rsidR="00F5218C" w:rsidRDefault="00F5218C" w:rsidP="00D26096">
      <w:pPr>
        <w:suppressAutoHyphens/>
        <w:ind w:left="360"/>
      </w:pPr>
    </w:p>
    <w:p w:rsidR="00F5218C" w:rsidRDefault="00F5218C" w:rsidP="00D26096">
      <w:pPr>
        <w:suppressAutoHyphens/>
        <w:ind w:left="360"/>
      </w:pPr>
    </w:p>
    <w:p w:rsidR="00F5218C" w:rsidRDefault="00F5218C" w:rsidP="00D26096">
      <w:pPr>
        <w:suppressAutoHyphens/>
        <w:ind w:left="360"/>
      </w:pPr>
    </w:p>
    <w:p w:rsidR="00876CE1" w:rsidRDefault="00876CE1" w:rsidP="00D26096">
      <w:pPr>
        <w:suppressAutoHyphens/>
        <w:ind w:left="360"/>
      </w:pPr>
    </w:p>
    <w:p w:rsidR="00F5218C" w:rsidRDefault="00F5218C" w:rsidP="00D26096">
      <w:pPr>
        <w:suppressAutoHyphens/>
        <w:ind w:left="360"/>
      </w:pPr>
    </w:p>
    <w:p w:rsidR="00E20551" w:rsidRDefault="0019547F">
      <w:pPr>
        <w:suppressAutoHyphens/>
        <w:rPr>
          <w:b/>
        </w:rPr>
      </w:pPr>
      <w:r>
        <w:rPr>
          <w:b/>
        </w:rPr>
        <w:lastRenderedPageBreak/>
        <w:t xml:space="preserve">Table 4: </w:t>
      </w:r>
      <w:r w:rsidR="00E20551" w:rsidRPr="00E622AB">
        <w:rPr>
          <w:b/>
        </w:rPr>
        <w:t>Care of the patient for first 24 hours post EVT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5F1C08" w:rsidRPr="0019547F" w:rsidTr="009615E3">
        <w:trPr>
          <w:trHeight w:val="562"/>
        </w:trPr>
        <w:tc>
          <w:tcPr>
            <w:tcW w:w="10031" w:type="dxa"/>
            <w:shd w:val="clear" w:color="auto" w:fill="auto"/>
          </w:tcPr>
          <w:p w:rsidR="005F1C08" w:rsidRPr="00CA2F69" w:rsidRDefault="005F1C08" w:rsidP="00CA2F69">
            <w:pPr>
              <w:suppressAutoHyphens/>
              <w:rPr>
                <w:u w:val="single"/>
              </w:rPr>
            </w:pPr>
            <w:r w:rsidRPr="00CA2F69">
              <w:rPr>
                <w:u w:val="single"/>
              </w:rPr>
              <w:t>Pre Femoral Sheath Removal:</w:t>
            </w:r>
          </w:p>
          <w:p w:rsidR="005F1C08" w:rsidRPr="0019547F" w:rsidRDefault="005F1C08" w:rsidP="005552E4">
            <w:pPr>
              <w:numPr>
                <w:ilvl w:val="0"/>
                <w:numId w:val="28"/>
              </w:numPr>
              <w:suppressAutoHyphens/>
            </w:pPr>
            <w:r w:rsidRPr="0019547F">
              <w:t>Check ACT &amp; remove sheath per</w:t>
            </w:r>
            <w:r w:rsidR="000E357A">
              <w:t xml:space="preserve"> IVR</w:t>
            </w:r>
            <w:r w:rsidR="0063587C">
              <w:t xml:space="preserve"> Femoral Arterial Sheath Removal </w:t>
            </w:r>
            <w:r w:rsidR="001A5D09">
              <w:t xml:space="preserve">Nursing </w:t>
            </w:r>
            <w:r w:rsidR="0063587C">
              <w:t>Policy &amp; Procedure &amp; Arterial Sheath Removal Order Set</w:t>
            </w:r>
          </w:p>
        </w:tc>
      </w:tr>
      <w:tr w:rsidR="0063587C" w:rsidRPr="0019547F" w:rsidTr="009615E3">
        <w:trPr>
          <w:trHeight w:val="1101"/>
        </w:trPr>
        <w:tc>
          <w:tcPr>
            <w:tcW w:w="10031" w:type="dxa"/>
            <w:shd w:val="clear" w:color="auto" w:fill="auto"/>
          </w:tcPr>
          <w:p w:rsidR="0063587C" w:rsidRDefault="0063587C" w:rsidP="0063587C">
            <w:pPr>
              <w:suppressAutoHyphens/>
              <w:rPr>
                <w:u w:val="single"/>
              </w:rPr>
            </w:pPr>
            <w:r>
              <w:rPr>
                <w:u w:val="single"/>
              </w:rPr>
              <w:t>Post Sheath R</w:t>
            </w:r>
            <w:r w:rsidRPr="0063587C">
              <w:rPr>
                <w:u w:val="single"/>
              </w:rPr>
              <w:t>emoval:</w:t>
            </w:r>
          </w:p>
          <w:p w:rsidR="001A5D09" w:rsidRPr="0063587C" w:rsidRDefault="001A5D09" w:rsidP="001A5D09">
            <w:pPr>
              <w:numPr>
                <w:ilvl w:val="0"/>
                <w:numId w:val="27"/>
              </w:numPr>
              <w:suppressAutoHyphens/>
              <w:rPr>
                <w:u w:val="single"/>
              </w:rPr>
            </w:pPr>
            <w:r>
              <w:t>Follow IVR Femoral A</w:t>
            </w:r>
            <w:r w:rsidR="00BF0933">
              <w:t>rterial Sheath Removal Policy/</w:t>
            </w:r>
            <w:r>
              <w:t>Procedure &amp; Arterial Sheath Removal Order Set</w:t>
            </w:r>
          </w:p>
          <w:p w:rsidR="0063587C" w:rsidRPr="0019547F" w:rsidRDefault="0063587C" w:rsidP="0063587C">
            <w:pPr>
              <w:numPr>
                <w:ilvl w:val="0"/>
                <w:numId w:val="27"/>
              </w:numPr>
              <w:suppressAutoHyphens/>
            </w:pPr>
            <w:r w:rsidRPr="0019547F">
              <w:t>Apply bandage to puncture site</w:t>
            </w:r>
          </w:p>
          <w:p w:rsidR="0063587C" w:rsidRPr="0019547F" w:rsidRDefault="0063587C" w:rsidP="0063587C">
            <w:pPr>
              <w:numPr>
                <w:ilvl w:val="0"/>
                <w:numId w:val="27"/>
              </w:numPr>
              <w:suppressAutoHyphens/>
            </w:pPr>
            <w:r w:rsidRPr="0019547F">
              <w:t>Monitor sheath site for bleeding</w:t>
            </w:r>
            <w:r w:rsidR="006C10DD">
              <w:t xml:space="preserve"> or hematoma</w:t>
            </w:r>
            <w:r w:rsidRPr="0019547F">
              <w:t xml:space="preserve">, distal pulses and limb viability q 15 min for 1 hour </w:t>
            </w:r>
            <w:r w:rsidRPr="002B0B0F">
              <w:t>then q 30 min f</w:t>
            </w:r>
            <w:r w:rsidR="00B76335" w:rsidRPr="002B0B0F">
              <w:t>or 3</w:t>
            </w:r>
            <w:r w:rsidRPr="002B0B0F">
              <w:t xml:space="preserve"> h</w:t>
            </w:r>
            <w:r w:rsidR="00571546" w:rsidRPr="002B0B0F">
              <w:t>our</w:t>
            </w:r>
            <w:r w:rsidR="00B76335" w:rsidRPr="002B0B0F">
              <w:t>s</w:t>
            </w:r>
            <w:r w:rsidR="00571546" w:rsidRPr="002B0B0F">
              <w:t>, then q shift until discharge</w:t>
            </w:r>
            <w:r w:rsidR="00135693">
              <w:t xml:space="preserve">. </w:t>
            </w:r>
          </w:p>
          <w:p w:rsidR="002401F2" w:rsidRDefault="006C10DD" w:rsidP="002401F2">
            <w:pPr>
              <w:numPr>
                <w:ilvl w:val="0"/>
                <w:numId w:val="27"/>
              </w:numPr>
              <w:suppressAutoHyphens/>
            </w:pPr>
            <w:r>
              <w:t>Maintain supine with HOB no more than 30</w:t>
            </w:r>
            <w:r w:rsidRPr="006C10DD">
              <w:rPr>
                <w:vertAlign w:val="superscript"/>
              </w:rPr>
              <w:t>o</w:t>
            </w:r>
            <w:r w:rsidR="00D22307">
              <w:t xml:space="preserve"> with punctured</w:t>
            </w:r>
            <w:r w:rsidR="00D26096">
              <w:t xml:space="preserve"> limb (sheath site) </w:t>
            </w:r>
            <w:r w:rsidR="00D22307">
              <w:t xml:space="preserve">at rest, and puncture site visible for 6 hours post sheath removal. </w:t>
            </w:r>
          </w:p>
          <w:p w:rsidR="00113B26" w:rsidRPr="00CC7130" w:rsidRDefault="00113B26" w:rsidP="00113B26">
            <w:pPr>
              <w:pStyle w:val="BodyTextIndent"/>
              <w:numPr>
                <w:ilvl w:val="0"/>
                <w:numId w:val="27"/>
              </w:numPr>
              <w:spacing w:after="0"/>
            </w:pPr>
            <w:r w:rsidRPr="0019547F">
              <w:t xml:space="preserve">Follow </w:t>
            </w:r>
            <w:r>
              <w:rPr>
                <w:b/>
                <w:color w:val="000000"/>
              </w:rPr>
              <w:t xml:space="preserve">Care of the Patient for the first 24 hours Following </w:t>
            </w:r>
            <w:proofErr w:type="spellStart"/>
            <w:r>
              <w:rPr>
                <w:b/>
                <w:color w:val="000000"/>
              </w:rPr>
              <w:t>rt</w:t>
            </w:r>
            <w:proofErr w:type="spellEnd"/>
            <w:r>
              <w:rPr>
                <w:b/>
                <w:color w:val="000000"/>
              </w:rPr>
              <w:t xml:space="preserve">-PA +/- EVT </w:t>
            </w:r>
            <w:r w:rsidRPr="0019547F">
              <w:t>(above)</w:t>
            </w:r>
          </w:p>
        </w:tc>
      </w:tr>
      <w:tr w:rsidR="000E357A" w:rsidRPr="0019547F" w:rsidTr="009615E3">
        <w:trPr>
          <w:trHeight w:val="1101"/>
        </w:trPr>
        <w:tc>
          <w:tcPr>
            <w:tcW w:w="10031" w:type="dxa"/>
            <w:shd w:val="clear" w:color="auto" w:fill="auto"/>
          </w:tcPr>
          <w:p w:rsidR="000E357A" w:rsidRPr="00CA2F69" w:rsidRDefault="000E357A" w:rsidP="00CA2F69">
            <w:pPr>
              <w:suppressAutoHyphens/>
              <w:rPr>
                <w:u w:val="single"/>
              </w:rPr>
            </w:pPr>
            <w:r w:rsidRPr="00CA2F69">
              <w:rPr>
                <w:u w:val="single"/>
              </w:rPr>
              <w:t>Post EVT if Femoral Sheath Remains in Situ</w:t>
            </w:r>
            <w:r w:rsidR="001A5D09">
              <w:rPr>
                <w:u w:val="single"/>
              </w:rPr>
              <w:t>:</w:t>
            </w:r>
          </w:p>
          <w:p w:rsidR="009614C3" w:rsidRPr="002B0B0F" w:rsidRDefault="004916E9" w:rsidP="005552E4">
            <w:pPr>
              <w:numPr>
                <w:ilvl w:val="0"/>
                <w:numId w:val="29"/>
              </w:numPr>
              <w:suppressAutoHyphens/>
            </w:pPr>
            <w:r w:rsidRPr="002B0B0F">
              <w:t>Sheath to arterial line</w:t>
            </w:r>
            <w:r w:rsidR="009614C3" w:rsidRPr="002B0B0F">
              <w:t xml:space="preserve">. </w:t>
            </w:r>
          </w:p>
          <w:p w:rsidR="00D26096" w:rsidRDefault="000E357A" w:rsidP="005552E4">
            <w:pPr>
              <w:numPr>
                <w:ilvl w:val="0"/>
                <w:numId w:val="29"/>
              </w:numPr>
              <w:suppressAutoHyphens/>
            </w:pPr>
            <w:r w:rsidRPr="0019547F">
              <w:t xml:space="preserve">Bedrest-roll q 1-2 h. </w:t>
            </w:r>
            <w:r w:rsidR="00D22307">
              <w:t>Keep pun</w:t>
            </w:r>
            <w:r w:rsidR="00D30B44">
              <w:t>c</w:t>
            </w:r>
            <w:r w:rsidR="00D22307">
              <w:t>tured limb (sheath site) at rest and visible</w:t>
            </w:r>
            <w:r w:rsidR="005208E9">
              <w:t xml:space="preserve">. Elevate </w:t>
            </w:r>
            <w:r w:rsidRPr="0019547F">
              <w:t xml:space="preserve">HOB </w:t>
            </w:r>
            <w:r w:rsidR="00D22307">
              <w:t xml:space="preserve">no more than </w:t>
            </w:r>
            <w:r w:rsidRPr="0019547F">
              <w:t>30</w:t>
            </w:r>
            <w:r w:rsidRPr="00D26096">
              <w:rPr>
                <w:vertAlign w:val="superscript"/>
              </w:rPr>
              <w:t>0</w:t>
            </w:r>
            <w:r w:rsidR="00D26096">
              <w:t>.</w:t>
            </w:r>
          </w:p>
          <w:p w:rsidR="000E357A" w:rsidRDefault="000E357A" w:rsidP="005552E4">
            <w:pPr>
              <w:numPr>
                <w:ilvl w:val="0"/>
                <w:numId w:val="29"/>
              </w:numPr>
              <w:suppressAutoHyphens/>
            </w:pPr>
            <w:r w:rsidRPr="0019547F">
              <w:t>Monitor sheath site for bleeding</w:t>
            </w:r>
            <w:r w:rsidR="008B1511">
              <w:t xml:space="preserve"> or hematoma, HR, BP</w:t>
            </w:r>
            <w:r w:rsidRPr="0019547F">
              <w:t>, distal pulses and limb viability q 15 min for 1 hour the</w:t>
            </w:r>
            <w:r w:rsidR="00CC7130">
              <w:t>n q 30 min while sheath in situ</w:t>
            </w:r>
          </w:p>
          <w:p w:rsidR="00BA5E4E" w:rsidRPr="0019547F" w:rsidRDefault="00135693" w:rsidP="005552E4">
            <w:pPr>
              <w:numPr>
                <w:ilvl w:val="0"/>
                <w:numId w:val="29"/>
              </w:numPr>
              <w:suppressAutoHyphens/>
            </w:pPr>
            <w:r>
              <w:t xml:space="preserve">Consider </w:t>
            </w:r>
            <w:r w:rsidR="004916E9" w:rsidRPr="002B0B0F">
              <w:t xml:space="preserve">peripheral </w:t>
            </w:r>
            <w:r w:rsidR="00BA5E4E" w:rsidRPr="002B0B0F">
              <w:t>IV</w:t>
            </w:r>
            <w:r w:rsidR="00BA5E4E">
              <w:t xml:space="preserve"> N/S 75-125 cc/</w:t>
            </w:r>
            <w:proofErr w:type="spellStart"/>
            <w:r w:rsidR="00BA5E4E">
              <w:t>hr</w:t>
            </w:r>
            <w:proofErr w:type="spellEnd"/>
            <w:r w:rsidR="00BA5E4E">
              <w:t xml:space="preserve"> overnight</w:t>
            </w:r>
          </w:p>
        </w:tc>
      </w:tr>
      <w:tr w:rsidR="000E357A" w:rsidRPr="0019547F" w:rsidTr="00113B26">
        <w:trPr>
          <w:trHeight w:val="416"/>
        </w:trPr>
        <w:tc>
          <w:tcPr>
            <w:tcW w:w="10031" w:type="dxa"/>
            <w:shd w:val="clear" w:color="auto" w:fill="auto"/>
          </w:tcPr>
          <w:p w:rsidR="000E357A" w:rsidRDefault="006A1FF6" w:rsidP="00CA2F69">
            <w:pPr>
              <w:suppressAutoHyphens/>
              <w:rPr>
                <w:u w:val="single"/>
              </w:rPr>
            </w:pPr>
            <w:r>
              <w:rPr>
                <w:u w:val="single"/>
              </w:rPr>
              <w:t xml:space="preserve">During </w:t>
            </w:r>
            <w:r w:rsidR="00571546" w:rsidRPr="00135693">
              <w:rPr>
                <w:u w:val="single"/>
              </w:rPr>
              <w:t xml:space="preserve">Manual </w:t>
            </w:r>
            <w:r w:rsidR="000E357A" w:rsidRPr="00135693">
              <w:rPr>
                <w:u w:val="single"/>
              </w:rPr>
              <w:t>Compression</w:t>
            </w:r>
            <w:r>
              <w:rPr>
                <w:u w:val="single"/>
              </w:rPr>
              <w:t xml:space="preserve"> of Arterial Site </w:t>
            </w:r>
            <w:r w:rsidR="006855BE">
              <w:rPr>
                <w:u w:val="single"/>
              </w:rPr>
              <w:t xml:space="preserve">(if </w:t>
            </w:r>
            <w:proofErr w:type="spellStart"/>
            <w:r w:rsidR="006855BE">
              <w:rPr>
                <w:u w:val="single"/>
              </w:rPr>
              <w:t>A</w:t>
            </w:r>
            <w:r w:rsidR="008B1511">
              <w:rPr>
                <w:u w:val="single"/>
              </w:rPr>
              <w:t>ngio</w:t>
            </w:r>
            <w:proofErr w:type="spellEnd"/>
            <w:r w:rsidR="006855BE">
              <w:rPr>
                <w:u w:val="single"/>
              </w:rPr>
              <w:t>-Seal</w:t>
            </w:r>
            <w:r w:rsidR="008B1511">
              <w:rPr>
                <w:u w:val="single"/>
              </w:rPr>
              <w:t xml:space="preserve"> is not used)</w:t>
            </w:r>
            <w:r w:rsidR="000E357A" w:rsidRPr="00CA2F69">
              <w:rPr>
                <w:u w:val="single"/>
              </w:rPr>
              <w:t>:</w:t>
            </w:r>
          </w:p>
          <w:p w:rsidR="0066067D" w:rsidRPr="0066067D" w:rsidRDefault="0066067D" w:rsidP="0066067D">
            <w:pPr>
              <w:pStyle w:val="ListParagraph"/>
              <w:numPr>
                <w:ilvl w:val="0"/>
                <w:numId w:val="32"/>
              </w:numPr>
              <w:suppressAutoHyphens/>
              <w:rPr>
                <w:u w:val="single"/>
              </w:rPr>
            </w:pPr>
            <w:r>
              <w:t xml:space="preserve">IVR nurse </w:t>
            </w:r>
            <w:r w:rsidR="00D22307">
              <w:t xml:space="preserve">only </w:t>
            </w:r>
            <w:r>
              <w:t>to remove femoral sheath wher</w:t>
            </w:r>
            <w:r w:rsidR="00D22307">
              <w:t xml:space="preserve">ever the patient is located </w:t>
            </w:r>
          </w:p>
          <w:p w:rsidR="00CC7130" w:rsidRPr="00CA2F69" w:rsidRDefault="00CC7130" w:rsidP="0066067D">
            <w:pPr>
              <w:numPr>
                <w:ilvl w:val="0"/>
                <w:numId w:val="32"/>
              </w:numPr>
              <w:suppressAutoHyphens/>
              <w:rPr>
                <w:u w:val="single"/>
              </w:rPr>
            </w:pPr>
            <w:r>
              <w:t xml:space="preserve">Follow Femoral Sheath Removal Policy &amp; Procedure and Arterial Sheath Removal Order Set which includes: </w:t>
            </w:r>
          </w:p>
          <w:p w:rsidR="00CC7130" w:rsidRPr="002B0B0F" w:rsidRDefault="006A1FF6" w:rsidP="0066067D">
            <w:pPr>
              <w:numPr>
                <w:ilvl w:val="1"/>
                <w:numId w:val="32"/>
              </w:numPr>
              <w:suppressAutoHyphens/>
            </w:pPr>
            <w:r w:rsidRPr="00467B0C">
              <w:t xml:space="preserve">Normal saline 250 cc </w:t>
            </w:r>
            <w:r w:rsidRPr="002B0B0F">
              <w:t>fluid bolus if ordered</w:t>
            </w:r>
          </w:p>
          <w:p w:rsidR="000E357A" w:rsidRPr="002B0B0F" w:rsidRDefault="000E357A" w:rsidP="0066067D">
            <w:pPr>
              <w:numPr>
                <w:ilvl w:val="1"/>
                <w:numId w:val="32"/>
              </w:numPr>
              <w:suppressAutoHyphens/>
            </w:pPr>
            <w:r w:rsidRPr="002B0B0F">
              <w:t>Monitor blood pressure q</w:t>
            </w:r>
            <w:r w:rsidR="00B76335" w:rsidRPr="002B0B0F">
              <w:t xml:space="preserve"> </w:t>
            </w:r>
            <w:r w:rsidRPr="002B0B0F">
              <w:t>5</w:t>
            </w:r>
            <w:r w:rsidR="00B76335" w:rsidRPr="002B0B0F">
              <w:t xml:space="preserve"> </w:t>
            </w:r>
            <w:r w:rsidRPr="002B0B0F">
              <w:t xml:space="preserve">min </w:t>
            </w:r>
          </w:p>
          <w:p w:rsidR="000E357A" w:rsidRPr="002B0B0F" w:rsidRDefault="000E357A" w:rsidP="0066067D">
            <w:pPr>
              <w:numPr>
                <w:ilvl w:val="1"/>
                <w:numId w:val="32"/>
              </w:numPr>
              <w:suppressAutoHyphens/>
            </w:pPr>
            <w:r w:rsidRPr="002B0B0F">
              <w:t xml:space="preserve">Monitor HR continuously </w:t>
            </w:r>
          </w:p>
          <w:p w:rsidR="000E357A" w:rsidRPr="000E357A" w:rsidRDefault="000E357A" w:rsidP="0066067D">
            <w:pPr>
              <w:numPr>
                <w:ilvl w:val="1"/>
                <w:numId w:val="32"/>
              </w:numPr>
              <w:suppressAutoHyphens/>
            </w:pPr>
            <w:r w:rsidRPr="002B0B0F">
              <w:t>Monit</w:t>
            </w:r>
            <w:r w:rsidR="006A1FF6" w:rsidRPr="002B0B0F">
              <w:t>or sheath site and vascular status of affected limb (</w:t>
            </w:r>
            <w:proofErr w:type="spellStart"/>
            <w:r w:rsidR="006A1FF6" w:rsidRPr="002B0B0F">
              <w:t>colour</w:t>
            </w:r>
            <w:proofErr w:type="spellEnd"/>
            <w:r w:rsidR="006A1FF6" w:rsidRPr="002B0B0F">
              <w:t>, pulses, temp)</w:t>
            </w:r>
            <w:r w:rsidRPr="002B0B0F">
              <w:t xml:space="preserve"> q 5</w:t>
            </w:r>
            <w:r w:rsidR="00B76335" w:rsidRPr="002B0B0F">
              <w:t>-10</w:t>
            </w:r>
            <w:r w:rsidRPr="002B0B0F">
              <w:t xml:space="preserve"> min</w:t>
            </w:r>
          </w:p>
        </w:tc>
      </w:tr>
      <w:tr w:rsidR="0063587C" w:rsidRPr="0019547F" w:rsidTr="009615E3">
        <w:trPr>
          <w:trHeight w:val="1131"/>
        </w:trPr>
        <w:tc>
          <w:tcPr>
            <w:tcW w:w="10031" w:type="dxa"/>
            <w:shd w:val="clear" w:color="auto" w:fill="auto"/>
          </w:tcPr>
          <w:p w:rsidR="006A1FF6" w:rsidRDefault="006A1FF6" w:rsidP="006A1FF6">
            <w:pPr>
              <w:suppressAutoHyphens/>
              <w:rPr>
                <w:u w:val="single"/>
              </w:rPr>
            </w:pPr>
            <w:r w:rsidRPr="006A1FF6">
              <w:rPr>
                <w:u w:val="single"/>
              </w:rPr>
              <w:t>General:</w:t>
            </w:r>
          </w:p>
          <w:p w:rsidR="0063587C" w:rsidRDefault="0063587C" w:rsidP="006A1FF6">
            <w:pPr>
              <w:numPr>
                <w:ilvl w:val="0"/>
                <w:numId w:val="33"/>
              </w:numPr>
              <w:suppressAutoHyphens/>
            </w:pPr>
            <w:r w:rsidRPr="0019547F">
              <w:t>All patients post</w:t>
            </w:r>
            <w:r w:rsidR="00D22307">
              <w:t xml:space="preserve"> EVT are to be </w:t>
            </w:r>
            <w:r w:rsidR="00D22307" w:rsidRPr="00082C30">
              <w:t>transferred to D4</w:t>
            </w:r>
            <w:r w:rsidRPr="00082C30">
              <w:t>ICU</w:t>
            </w:r>
            <w:r w:rsidR="00E11F2A" w:rsidRPr="00082C30">
              <w:t xml:space="preserve"> or Kidd 2ICU</w:t>
            </w:r>
            <w:bookmarkStart w:id="0" w:name="_GoBack"/>
            <w:bookmarkEnd w:id="0"/>
            <w:r w:rsidRPr="0019547F">
              <w:t xml:space="preserve"> as soon as possible for at least 24 hours</w:t>
            </w:r>
          </w:p>
          <w:p w:rsidR="006A1FF6" w:rsidRDefault="00CF529E" w:rsidP="006A1FF6">
            <w:pPr>
              <w:numPr>
                <w:ilvl w:val="0"/>
                <w:numId w:val="33"/>
              </w:numPr>
              <w:suppressAutoHyphens/>
            </w:pPr>
            <w:r>
              <w:t>Repeat CT at</w:t>
            </w:r>
            <w:r w:rsidR="006A1FF6" w:rsidRPr="0019547F">
              <w:t xml:space="preserve"> 24 </w:t>
            </w:r>
            <w:r w:rsidR="006A1FF6">
              <w:t xml:space="preserve">hours </w:t>
            </w:r>
            <w:r w:rsidR="00F05238">
              <w:t>or if sudden deterioration in neurological status</w:t>
            </w:r>
          </w:p>
          <w:p w:rsidR="0063587C" w:rsidRDefault="006A1FF6" w:rsidP="00CA2F69">
            <w:pPr>
              <w:numPr>
                <w:ilvl w:val="0"/>
                <w:numId w:val="33"/>
              </w:numPr>
              <w:suppressAutoHyphens/>
            </w:pPr>
            <w:r>
              <w:t xml:space="preserve">Follow the </w:t>
            </w:r>
            <w:r w:rsidRPr="006A1FF6">
              <w:rPr>
                <w:b/>
                <w:i/>
              </w:rPr>
              <w:t xml:space="preserve">Care of the Patient for the first 24 hour following </w:t>
            </w:r>
            <w:proofErr w:type="spellStart"/>
            <w:r w:rsidRPr="006A1FF6">
              <w:rPr>
                <w:b/>
                <w:i/>
              </w:rPr>
              <w:t>rt</w:t>
            </w:r>
            <w:proofErr w:type="spellEnd"/>
            <w:r w:rsidRPr="006A1FF6">
              <w:rPr>
                <w:b/>
                <w:i/>
              </w:rPr>
              <w:t>-PA +/- EVT</w:t>
            </w:r>
            <w:r>
              <w:t xml:space="preserve"> (above)</w:t>
            </w:r>
          </w:p>
          <w:p w:rsidR="00D22307" w:rsidRPr="00CC7130" w:rsidRDefault="00D22307" w:rsidP="00CA2F69">
            <w:pPr>
              <w:numPr>
                <w:ilvl w:val="0"/>
                <w:numId w:val="33"/>
              </w:numPr>
              <w:suppressAutoHyphens/>
            </w:pPr>
            <w:r>
              <w:t xml:space="preserve">Follow the </w:t>
            </w:r>
            <w:r w:rsidRPr="00D22307">
              <w:rPr>
                <w:b/>
                <w:i/>
              </w:rPr>
              <w:t>Acute Ischemic Stroke Thrombolysis/EVT QBP Order Set</w:t>
            </w:r>
          </w:p>
        </w:tc>
      </w:tr>
    </w:tbl>
    <w:p w:rsidR="000E357A" w:rsidRDefault="00FD6CB6" w:rsidP="00E11F2A">
      <w:pPr>
        <w:suppressAutoHyphens/>
        <w:ind w:left="-142"/>
        <w:rPr>
          <w:b/>
          <w:bCs/>
        </w:rPr>
      </w:pPr>
      <w:r w:rsidRPr="005655CE">
        <w:rPr>
          <w:b/>
          <w:bCs/>
        </w:rPr>
        <w:t>During first</w:t>
      </w:r>
      <w:r w:rsidR="00B844FA" w:rsidRPr="00E849A1">
        <w:rPr>
          <w:b/>
          <w:bCs/>
        </w:rPr>
        <w:t xml:space="preserve"> 24 hours</w:t>
      </w:r>
      <w:r w:rsidR="00E11F2A">
        <w:rPr>
          <w:b/>
          <w:bCs/>
        </w:rPr>
        <w:t>,</w:t>
      </w:r>
      <w:r w:rsidR="00B844FA">
        <w:rPr>
          <w:b/>
          <w:bCs/>
        </w:rPr>
        <w:t xml:space="preserve"> the patient should transition to </w:t>
      </w:r>
      <w:r w:rsidR="00E11F2A">
        <w:rPr>
          <w:b/>
          <w:bCs/>
        </w:rPr>
        <w:t xml:space="preserve">Acute Stroke Collaborative Care </w:t>
      </w:r>
      <w:r w:rsidR="00B844FA">
        <w:rPr>
          <w:b/>
          <w:bCs/>
        </w:rPr>
        <w:t>Plan</w:t>
      </w:r>
    </w:p>
    <w:p w:rsidR="00D26096" w:rsidRPr="009615E3" w:rsidRDefault="00D26096" w:rsidP="009615E3">
      <w:pPr>
        <w:suppressAutoHyphens/>
        <w:rPr>
          <w:b/>
          <w:bCs/>
        </w:rPr>
      </w:pPr>
    </w:p>
    <w:p w:rsidR="00B844FA" w:rsidRDefault="00B844FA" w:rsidP="00E11F2A">
      <w:pPr>
        <w:ind w:left="2160" w:hanging="2160"/>
      </w:pPr>
      <w:r>
        <w:rPr>
          <w:u w:val="single"/>
        </w:rPr>
        <w:t>Appendix A:</w:t>
      </w:r>
      <w:r>
        <w:tab/>
        <w:t>Management of Arterial Hypertension for Patients Undergoing Thrombolytic Therapy for Acute Cerebral Ischemia.</w:t>
      </w:r>
    </w:p>
    <w:p w:rsidR="00B844FA" w:rsidRDefault="00B844FA" w:rsidP="00E11F2A">
      <w:pPr>
        <w:ind w:left="2160" w:hanging="2160"/>
      </w:pPr>
      <w:r>
        <w:rPr>
          <w:u w:val="single"/>
        </w:rPr>
        <w:t xml:space="preserve">Appendix B: </w:t>
      </w:r>
      <w:r>
        <w:t xml:space="preserve">   </w:t>
      </w:r>
      <w:r>
        <w:tab/>
        <w:t xml:space="preserve">Management of Hemorrhagic Complications with Use of </w:t>
      </w:r>
      <w:proofErr w:type="spellStart"/>
      <w:r>
        <w:t>rt</w:t>
      </w:r>
      <w:proofErr w:type="spellEnd"/>
      <w:r>
        <w:t>-PA for Ischemic Stroke.</w:t>
      </w:r>
    </w:p>
    <w:p w:rsidR="00DE62F7" w:rsidRDefault="00B844FA" w:rsidP="00E11F2A">
      <w:pPr>
        <w:ind w:left="1440" w:hanging="1440"/>
      </w:pPr>
      <w:r>
        <w:rPr>
          <w:u w:val="single"/>
        </w:rPr>
        <w:t xml:space="preserve">Appendix C: </w:t>
      </w:r>
      <w:r>
        <w:t xml:space="preserve">   </w:t>
      </w:r>
      <w:r>
        <w:tab/>
        <w:t xml:space="preserve">Management of Angioedema with Use of </w:t>
      </w:r>
      <w:proofErr w:type="spellStart"/>
      <w:r>
        <w:t>rt</w:t>
      </w:r>
      <w:proofErr w:type="spellEnd"/>
      <w:r>
        <w:t>-PA for Ischemic Stroke.</w:t>
      </w:r>
    </w:p>
    <w:p w:rsidR="00B844FA" w:rsidRDefault="00DE62F7" w:rsidP="00E11F2A">
      <w:pPr>
        <w:ind w:left="1440" w:hanging="1440"/>
      </w:pPr>
      <w:r w:rsidRPr="00DE62F7">
        <w:rPr>
          <w:u w:val="single"/>
        </w:rPr>
        <w:t>Appendix D:</w:t>
      </w:r>
      <w:r>
        <w:tab/>
      </w:r>
      <w:r>
        <w:tab/>
      </w:r>
      <w:proofErr w:type="spellStart"/>
      <w:r>
        <w:t>rt</w:t>
      </w:r>
      <w:proofErr w:type="spellEnd"/>
      <w:r>
        <w:t>-PA 1 mg/ml Infusion for Acute Ischemic Stroke Dosing Chart.</w:t>
      </w:r>
    </w:p>
    <w:p w:rsidR="00E11F2A" w:rsidRDefault="00E11F2A" w:rsidP="00E11F2A">
      <w:pPr>
        <w:ind w:left="1440" w:hanging="1440"/>
      </w:pPr>
    </w:p>
    <w:p w:rsidR="00E11F2A" w:rsidRDefault="00E11F2A" w:rsidP="00E11F2A">
      <w:pPr>
        <w:ind w:left="1440" w:hanging="1440"/>
      </w:pPr>
    </w:p>
    <w:p w:rsidR="00B844FA" w:rsidRDefault="00B844FA">
      <w:pPr>
        <w:pStyle w:val="Heading2"/>
        <w:rPr>
          <w:b w:val="0"/>
          <w:bCs/>
          <w:i/>
          <w:iCs/>
        </w:rPr>
      </w:pPr>
      <w:r>
        <w:rPr>
          <w:b w:val="0"/>
          <w:bCs/>
          <w:i/>
          <w:iCs/>
        </w:rPr>
        <w:t xml:space="preserve"> </w:t>
      </w:r>
      <w:proofErr w:type="spellStart"/>
      <w:proofErr w:type="gramStart"/>
      <w:r>
        <w:rPr>
          <w:b w:val="0"/>
          <w:bCs/>
          <w:i/>
          <w:iCs/>
        </w:rPr>
        <w:t>tPA</w:t>
      </w:r>
      <w:proofErr w:type="spellEnd"/>
      <w:proofErr w:type="gramEnd"/>
      <w:r>
        <w:rPr>
          <w:b w:val="0"/>
          <w:bCs/>
          <w:i/>
          <w:iCs/>
        </w:rPr>
        <w:t xml:space="preserve"> Protocol approved by Pharmacy &amp; Therapeutics April 2001</w:t>
      </w:r>
    </w:p>
    <w:p w:rsidR="00B844FA" w:rsidRDefault="00B844FA">
      <w:pPr>
        <w:ind w:left="1440" w:hanging="1440"/>
        <w:rPr>
          <w:bCs/>
          <w:i/>
          <w:iCs/>
          <w:szCs w:val="20"/>
        </w:rPr>
      </w:pPr>
      <w:r>
        <w:rPr>
          <w:bCs/>
          <w:i/>
          <w:iCs/>
          <w:szCs w:val="20"/>
        </w:rPr>
        <w:t xml:space="preserve">Protocol </w:t>
      </w:r>
      <w:r w:rsidR="00F941B9">
        <w:rPr>
          <w:bCs/>
          <w:i/>
          <w:iCs/>
          <w:szCs w:val="20"/>
        </w:rPr>
        <w:t xml:space="preserve">last updated: </w:t>
      </w:r>
      <w:r w:rsidR="00E11F2A">
        <w:rPr>
          <w:bCs/>
          <w:i/>
          <w:iCs/>
          <w:szCs w:val="20"/>
        </w:rPr>
        <w:t>May 17</w:t>
      </w:r>
      <w:r w:rsidR="00DE04D7">
        <w:rPr>
          <w:bCs/>
          <w:i/>
          <w:iCs/>
          <w:szCs w:val="20"/>
        </w:rPr>
        <w:t>, 2018</w:t>
      </w:r>
    </w:p>
    <w:p w:rsidR="00B844FA" w:rsidRDefault="00B844FA">
      <w:pPr>
        <w:pStyle w:val="Heading1"/>
      </w:pPr>
      <w:r>
        <w:lastRenderedPageBreak/>
        <w:t>Appendix A</w:t>
      </w:r>
    </w:p>
    <w:p w:rsidR="00B844FA" w:rsidRDefault="00B844FA"/>
    <w:p w:rsidR="00B844FA" w:rsidRDefault="00B844FA"/>
    <w:p w:rsidR="00B844FA" w:rsidRDefault="00B844FA">
      <w:pPr>
        <w:pStyle w:val="BodyText"/>
        <w:rPr>
          <w:i w:val="0"/>
          <w:iCs w:val="0"/>
          <w:sz w:val="28"/>
        </w:rPr>
      </w:pPr>
      <w:r>
        <w:rPr>
          <w:i w:val="0"/>
          <w:iCs w:val="0"/>
          <w:sz w:val="28"/>
        </w:rPr>
        <w:t>Management of Arterial Hypertension for Patients Undergoing Thrombolytic Ther</w:t>
      </w:r>
      <w:r w:rsidR="00546C86">
        <w:rPr>
          <w:i w:val="0"/>
          <w:iCs w:val="0"/>
          <w:sz w:val="28"/>
        </w:rPr>
        <w:t>apy for Acute Cerebral Ischemia</w:t>
      </w:r>
      <w:r>
        <w:rPr>
          <w:i w:val="0"/>
          <w:iCs w:val="0"/>
          <w:sz w:val="28"/>
        </w:rPr>
        <w:t xml:space="preserve"> </w:t>
      </w:r>
    </w:p>
    <w:p w:rsidR="00B844FA" w:rsidRDefault="00B844FA"/>
    <w:p w:rsidR="00B844FA" w:rsidRDefault="00B844FA">
      <w:pPr>
        <w:pStyle w:val="BodyText"/>
        <w:rPr>
          <w:i w:val="0"/>
          <w:iCs w:val="0"/>
        </w:rPr>
      </w:pPr>
      <w:r>
        <w:rPr>
          <w:i w:val="0"/>
          <w:iCs w:val="0"/>
        </w:rPr>
        <w:t>Rationale:</w:t>
      </w:r>
    </w:p>
    <w:p w:rsidR="00B844FA" w:rsidRDefault="00B844FA"/>
    <w:p w:rsidR="00B844FA" w:rsidRDefault="00B844FA">
      <w:pPr>
        <w:pStyle w:val="BodyText2"/>
      </w:pPr>
      <w:r>
        <w:t>The acute hypertensive response commonly seen in ischemic stroke does not normally require emergent treatment, because the higher pressure may actually be beneficial, and a rapid fall in pressure may extend the infarct volume. However, for patients receiving thromb</w:t>
      </w:r>
      <w:r w:rsidR="000E357A">
        <w:t>olysis, very high pressures (180-230 systolic or 105</w:t>
      </w:r>
      <w:r>
        <w:t xml:space="preserve">-125 mm Hg diastolic) are associated with increased risk of hemorrhagic complication and justify careful antihypertensive therapy prior to receiving thrombolytic, and for 24 hours afterwards. </w:t>
      </w:r>
    </w:p>
    <w:p w:rsidR="00B844FA" w:rsidRDefault="00B844FA"/>
    <w:p w:rsidR="00B844FA" w:rsidRDefault="00B844FA"/>
    <w:p w:rsidR="00B844FA" w:rsidRDefault="00B844FA"/>
    <w:p w:rsidR="00B844FA" w:rsidRDefault="00B844FA"/>
    <w:p w:rsidR="00B844FA" w:rsidRDefault="00B844FA">
      <w:pPr>
        <w:pStyle w:val="BodyText"/>
        <w:rPr>
          <w:i w:val="0"/>
          <w:iCs w:val="0"/>
        </w:rPr>
      </w:pPr>
      <w:r>
        <w:rPr>
          <w:i w:val="0"/>
          <w:iCs w:val="0"/>
        </w:rPr>
        <w:t>Recommended Treatment:</w:t>
      </w:r>
    </w:p>
    <w:p w:rsidR="00B844FA" w:rsidRDefault="00B844FA"/>
    <w:p w:rsidR="00AD6B0C" w:rsidRPr="006206E3" w:rsidRDefault="00B844FA" w:rsidP="002D469A">
      <w:r w:rsidRPr="006206E3">
        <w:t xml:space="preserve">If the systolic blood pressure is </w:t>
      </w:r>
      <w:r w:rsidR="000E357A">
        <w:t>180</w:t>
      </w:r>
      <w:r w:rsidR="00426FB1" w:rsidRPr="006206E3">
        <w:t xml:space="preserve"> mmHg or </w:t>
      </w:r>
      <w:r w:rsidR="00AD6B0C" w:rsidRPr="006206E3">
        <w:t>gre</w:t>
      </w:r>
      <w:r w:rsidR="000E357A">
        <w:t>ater and/or the diastolic is 105</w:t>
      </w:r>
      <w:r w:rsidR="00AD6B0C" w:rsidRPr="006206E3">
        <w:t xml:space="preserve"> mmHg or greater:</w:t>
      </w:r>
    </w:p>
    <w:p w:rsidR="00B844FA" w:rsidRPr="006206E3" w:rsidRDefault="00AD6B0C" w:rsidP="00AD6B0C">
      <w:r w:rsidRPr="006206E3">
        <w:t xml:space="preserve">-    </w:t>
      </w:r>
      <w:r w:rsidR="00B844FA" w:rsidRPr="006206E3">
        <w:t>Give labetalol 10 mg IV over 2 minutes</w:t>
      </w:r>
    </w:p>
    <w:p w:rsidR="00B844FA" w:rsidRPr="006206E3" w:rsidRDefault="00B844FA" w:rsidP="005552E4">
      <w:pPr>
        <w:numPr>
          <w:ilvl w:val="0"/>
          <w:numId w:val="6"/>
        </w:numPr>
      </w:pPr>
      <w:r w:rsidRPr="006206E3">
        <w:t xml:space="preserve">Repeat labetalol 10-20 mg IV </w:t>
      </w:r>
      <w:r w:rsidR="00185F21">
        <w:t xml:space="preserve">over 2 minutes </w:t>
      </w:r>
      <w:r w:rsidRPr="006206E3">
        <w:t>every 10-20 minutes</w:t>
      </w:r>
      <w:r w:rsidR="00384A8D" w:rsidRPr="006206E3">
        <w:t xml:space="preserve"> </w:t>
      </w:r>
      <w:r w:rsidR="00185F21">
        <w:t>PRN</w:t>
      </w:r>
      <w:r w:rsidR="006206E3" w:rsidRPr="006206E3">
        <w:t xml:space="preserve"> </w:t>
      </w:r>
      <w:r w:rsidR="00185F21">
        <w:t xml:space="preserve">to </w:t>
      </w:r>
      <w:r w:rsidR="002B0B0F">
        <w:t>aim for BP less than 180</w:t>
      </w:r>
      <w:r w:rsidR="00384A8D" w:rsidRPr="006206E3">
        <w:t xml:space="preserve"> mmHg </w:t>
      </w:r>
      <w:r w:rsidR="00426FB1" w:rsidRPr="006206E3">
        <w:t xml:space="preserve">systolic </w:t>
      </w:r>
      <w:r w:rsidR="00384A8D" w:rsidRPr="006206E3">
        <w:t xml:space="preserve">and/or </w:t>
      </w:r>
      <w:r w:rsidR="00426FB1" w:rsidRPr="006206E3">
        <w:t>1</w:t>
      </w:r>
      <w:r w:rsidR="002B0B0F">
        <w:t>05</w:t>
      </w:r>
      <w:r w:rsidR="006206E3">
        <w:t xml:space="preserve"> mmHg</w:t>
      </w:r>
      <w:r w:rsidR="00384A8D" w:rsidRPr="006206E3">
        <w:t xml:space="preserve"> diastolic. </w:t>
      </w:r>
      <w:r w:rsidRPr="006206E3">
        <w:t xml:space="preserve"> </w:t>
      </w:r>
      <w:r w:rsidR="00D22307">
        <w:t>If patient receives greater than 3 dose</w:t>
      </w:r>
      <w:r w:rsidR="00185F21">
        <w:t>s</w:t>
      </w:r>
      <w:r w:rsidR="00D22307">
        <w:t xml:space="preserve"> of labetalol within 2 hour period, start labetalol IV infusion (usual starting dose is 0.5-1</w:t>
      </w:r>
      <w:r w:rsidR="00185F21">
        <w:t xml:space="preserve"> </w:t>
      </w:r>
      <w:r w:rsidR="00D22307">
        <w:t>mg/min).</w:t>
      </w:r>
      <w:r w:rsidR="00185F21">
        <w:t xml:space="preserve"> T</w:t>
      </w:r>
      <w:r w:rsidR="00D22307">
        <w:t>he maximum cumulative dose of labetalol is 300 mg in a 24 hour period.</w:t>
      </w:r>
    </w:p>
    <w:p w:rsidR="00D12268" w:rsidRPr="00185F21" w:rsidRDefault="00D12268" w:rsidP="00D12268">
      <w:pPr>
        <w:rPr>
          <w:sz w:val="28"/>
          <w:szCs w:val="28"/>
        </w:rPr>
      </w:pPr>
      <w:r w:rsidRPr="00185F21">
        <w:rPr>
          <w:sz w:val="28"/>
          <w:szCs w:val="28"/>
        </w:rPr>
        <w:t>OR</w:t>
      </w:r>
    </w:p>
    <w:p w:rsidR="00BA7A56" w:rsidRDefault="00486F21" w:rsidP="005552E4">
      <w:pPr>
        <w:numPr>
          <w:ilvl w:val="0"/>
          <w:numId w:val="7"/>
        </w:numPr>
      </w:pPr>
      <w:r w:rsidRPr="00BA7A56">
        <w:t xml:space="preserve">Give hydralazine </w:t>
      </w:r>
      <w:r w:rsidR="00D22307">
        <w:t xml:space="preserve">10 mg IV q4-6 h PRN </w:t>
      </w:r>
      <w:r w:rsidR="006206E3" w:rsidRPr="00BA7A56">
        <w:t>to aim for BP less than 1</w:t>
      </w:r>
      <w:r w:rsidR="002B0B0F">
        <w:t>80 mmHg systolic and/or 105</w:t>
      </w:r>
      <w:r w:rsidRPr="00BA7A56">
        <w:t xml:space="preserve"> mmHg</w:t>
      </w:r>
      <w:r w:rsidR="00185F21">
        <w:t xml:space="preserve"> diastolic (Consider for use if HR less than 50 beats/min)</w:t>
      </w:r>
    </w:p>
    <w:p w:rsidR="00BA7A56" w:rsidRDefault="00BA7A56" w:rsidP="00BA7A56"/>
    <w:p w:rsidR="00BA7A56" w:rsidRDefault="00BA7A56" w:rsidP="00BA7A56"/>
    <w:p w:rsidR="00D12268" w:rsidRDefault="00D12268" w:rsidP="005552E4">
      <w:pPr>
        <w:numPr>
          <w:ilvl w:val="0"/>
          <w:numId w:val="17"/>
        </w:numPr>
      </w:pPr>
      <w:r>
        <w:t>Monitor BP q 15 min or more frequently during initial management. *   Report hypotension</w:t>
      </w:r>
      <w:r w:rsidR="003658D9">
        <w:t xml:space="preserve"> (</w:t>
      </w:r>
      <w:r w:rsidR="002D469A">
        <w:t>s</w:t>
      </w:r>
      <w:r w:rsidR="003658D9">
        <w:t>ys</w:t>
      </w:r>
      <w:r w:rsidR="002D469A">
        <w:t>tolic BP less than 110 mmHg or d</w:t>
      </w:r>
      <w:r w:rsidR="003658D9">
        <w:t>iastolic BP less than 60)</w:t>
      </w:r>
    </w:p>
    <w:p w:rsidR="00B844FA" w:rsidRDefault="00B844FA" w:rsidP="00BA7A56">
      <w:pPr>
        <w:ind w:left="360"/>
      </w:pPr>
      <w:r>
        <w:t xml:space="preserve">       </w:t>
      </w:r>
    </w:p>
    <w:p w:rsidR="00426FB1" w:rsidRPr="00F76FC8" w:rsidRDefault="00B844FA" w:rsidP="00F76FC8">
      <w:pPr>
        <w:numPr>
          <w:ilvl w:val="0"/>
          <w:numId w:val="8"/>
        </w:numPr>
        <w:rPr>
          <w:bCs/>
          <w:i/>
          <w:iCs/>
        </w:rPr>
      </w:pPr>
      <w:r>
        <w:t xml:space="preserve">* BP monitoring must be frequent in order to detect dramatic changes in pressure. The risk of bleeding secondary to an arterial puncture must be weighed against the difficulties in monitoring rapid changes in pressure. </w:t>
      </w:r>
    </w:p>
    <w:p w:rsidR="00F76FC8" w:rsidRDefault="00F76FC8" w:rsidP="00F76FC8"/>
    <w:p w:rsidR="00F76FC8" w:rsidRDefault="00F76FC8" w:rsidP="00F76FC8"/>
    <w:p w:rsidR="00F76FC8" w:rsidRPr="00F76FC8" w:rsidRDefault="00F76FC8" w:rsidP="00F76FC8">
      <w:pPr>
        <w:rPr>
          <w:bCs/>
          <w:i/>
          <w:iCs/>
        </w:rPr>
      </w:pPr>
    </w:p>
    <w:p w:rsidR="00426FB1" w:rsidRDefault="00426FB1">
      <w:pPr>
        <w:pStyle w:val="Heading2"/>
        <w:rPr>
          <w:b w:val="0"/>
          <w:bCs/>
          <w:i/>
          <w:iCs/>
        </w:rPr>
      </w:pPr>
    </w:p>
    <w:p w:rsidR="00426FB1" w:rsidRDefault="00426FB1">
      <w:pPr>
        <w:pStyle w:val="Heading2"/>
        <w:rPr>
          <w:b w:val="0"/>
          <w:bCs/>
          <w:i/>
          <w:iCs/>
        </w:rPr>
      </w:pPr>
    </w:p>
    <w:p w:rsidR="00B844FA" w:rsidRDefault="00B844FA">
      <w:pPr>
        <w:pStyle w:val="Heading2"/>
        <w:rPr>
          <w:b w:val="0"/>
          <w:bCs/>
          <w:i/>
          <w:iCs/>
        </w:rPr>
      </w:pPr>
      <w:r>
        <w:rPr>
          <w:b w:val="0"/>
          <w:bCs/>
          <w:i/>
          <w:iCs/>
        </w:rPr>
        <w:t>Version Approved by Pharmacy &amp; Therapeutics April 2001</w:t>
      </w:r>
    </w:p>
    <w:p w:rsidR="00F76FC8" w:rsidRDefault="00F76FC8">
      <w:pPr>
        <w:rPr>
          <w:b/>
          <w:bCs/>
        </w:rPr>
      </w:pPr>
      <w:r>
        <w:br w:type="page"/>
      </w:r>
    </w:p>
    <w:p w:rsidR="00B844FA" w:rsidRDefault="00B844FA">
      <w:pPr>
        <w:pStyle w:val="Heading1"/>
      </w:pPr>
      <w:r>
        <w:lastRenderedPageBreak/>
        <w:t>Appendix B</w:t>
      </w:r>
    </w:p>
    <w:p w:rsidR="00B844FA" w:rsidRDefault="00B844FA"/>
    <w:p w:rsidR="00B844FA" w:rsidRDefault="000E357A">
      <w:pPr>
        <w:pStyle w:val="Heading1"/>
      </w:pPr>
      <w:r>
        <w:t xml:space="preserve">Management of </w:t>
      </w:r>
      <w:r w:rsidR="00B844FA">
        <w:t xml:space="preserve">Hemorrhagic Complications with Use of </w:t>
      </w:r>
      <w:proofErr w:type="spellStart"/>
      <w:r w:rsidR="00B844FA">
        <w:t>rt</w:t>
      </w:r>
      <w:proofErr w:type="spellEnd"/>
      <w:r w:rsidR="00B844FA">
        <w:t>-PA for Ischemic Stroke</w:t>
      </w:r>
    </w:p>
    <w:p w:rsidR="00B844FA" w:rsidRDefault="00B844FA"/>
    <w:p w:rsidR="00B844FA" w:rsidRDefault="00B844FA">
      <w:r>
        <w:t xml:space="preserve">The use of </w:t>
      </w:r>
      <w:proofErr w:type="spellStart"/>
      <w:r>
        <w:t>rt</w:t>
      </w:r>
      <w:proofErr w:type="spellEnd"/>
      <w:r>
        <w:t>-PA carries the risk of hemorrhagic complications either intracranial or systemic.</w:t>
      </w:r>
    </w:p>
    <w:p w:rsidR="00B844FA" w:rsidRDefault="00B844FA"/>
    <w:p w:rsidR="00B844FA" w:rsidRDefault="00B844FA"/>
    <w:p w:rsidR="00B844FA" w:rsidRDefault="00B844FA" w:rsidP="005552E4">
      <w:pPr>
        <w:numPr>
          <w:ilvl w:val="0"/>
          <w:numId w:val="9"/>
        </w:numPr>
        <w:rPr>
          <w:b/>
        </w:rPr>
      </w:pPr>
      <w:r>
        <w:rPr>
          <w:b/>
        </w:rPr>
        <w:t>Intracranial Hemorrhage:</w:t>
      </w:r>
    </w:p>
    <w:p w:rsidR="00B844FA" w:rsidRDefault="00B844FA">
      <w:pPr>
        <w:rPr>
          <w:b/>
        </w:rPr>
      </w:pPr>
    </w:p>
    <w:p w:rsidR="00B844FA" w:rsidRDefault="00B844FA" w:rsidP="005552E4">
      <w:pPr>
        <w:numPr>
          <w:ilvl w:val="0"/>
          <w:numId w:val="11"/>
        </w:numPr>
      </w:pPr>
      <w:r>
        <w:t xml:space="preserve">Clear neurologic deterioration during or within 24 hours of </w:t>
      </w:r>
      <w:proofErr w:type="spellStart"/>
      <w:r>
        <w:t>rt</w:t>
      </w:r>
      <w:proofErr w:type="spellEnd"/>
      <w:r>
        <w:t>-PA infusion should be assumed to be due to intracranial hemorrhage.</w:t>
      </w:r>
    </w:p>
    <w:p w:rsidR="00B844FA" w:rsidRDefault="00B844FA" w:rsidP="005552E4">
      <w:pPr>
        <w:numPr>
          <w:ilvl w:val="0"/>
          <w:numId w:val="11"/>
        </w:numPr>
      </w:pPr>
      <w:r>
        <w:t xml:space="preserve">If deterioration occurs during </w:t>
      </w:r>
      <w:proofErr w:type="spellStart"/>
      <w:r>
        <w:t>rt</w:t>
      </w:r>
      <w:proofErr w:type="spellEnd"/>
      <w:r>
        <w:t>-PA infusion. Stop infusion.</w:t>
      </w:r>
    </w:p>
    <w:p w:rsidR="00B844FA" w:rsidRDefault="00B844FA" w:rsidP="005552E4">
      <w:pPr>
        <w:numPr>
          <w:ilvl w:val="0"/>
          <w:numId w:val="11"/>
        </w:numPr>
      </w:pPr>
      <w:r>
        <w:t xml:space="preserve">Emergent CT scan </w:t>
      </w:r>
    </w:p>
    <w:p w:rsidR="00B844FA" w:rsidRPr="00546C86" w:rsidRDefault="00B844FA" w:rsidP="005552E4">
      <w:pPr>
        <w:numPr>
          <w:ilvl w:val="0"/>
          <w:numId w:val="11"/>
        </w:numPr>
      </w:pPr>
      <w:r w:rsidRPr="00546C86">
        <w:t>Consider</w:t>
      </w:r>
      <w:r w:rsidR="00DE62F7" w:rsidRPr="00546C86">
        <w:t xml:space="preserve"> urgent</w:t>
      </w:r>
      <w:r w:rsidRPr="00546C86">
        <w:t xml:space="preserve"> neurosurgical consultation</w:t>
      </w:r>
    </w:p>
    <w:p w:rsidR="00B844FA" w:rsidRPr="00546C86" w:rsidRDefault="00B844FA" w:rsidP="005552E4">
      <w:pPr>
        <w:numPr>
          <w:ilvl w:val="0"/>
          <w:numId w:val="11"/>
        </w:numPr>
      </w:pPr>
      <w:r w:rsidRPr="00546C86">
        <w:t>Consider cryoprecipitate</w:t>
      </w:r>
    </w:p>
    <w:p w:rsidR="00B844FA" w:rsidRPr="00546C86" w:rsidRDefault="00B844FA">
      <w:pPr>
        <w:ind w:left="360"/>
      </w:pPr>
    </w:p>
    <w:p w:rsidR="00B844FA" w:rsidRPr="00546C86" w:rsidRDefault="00B844FA"/>
    <w:p w:rsidR="00B844FA" w:rsidRPr="00546C86" w:rsidRDefault="00B844FA" w:rsidP="005552E4">
      <w:pPr>
        <w:numPr>
          <w:ilvl w:val="0"/>
          <w:numId w:val="9"/>
        </w:numPr>
        <w:rPr>
          <w:b/>
        </w:rPr>
      </w:pPr>
      <w:r w:rsidRPr="00546C86">
        <w:rPr>
          <w:b/>
        </w:rPr>
        <w:t xml:space="preserve">Systemic Hemorrhage: </w:t>
      </w:r>
    </w:p>
    <w:p w:rsidR="00B844FA" w:rsidRPr="00546C86" w:rsidRDefault="00B844FA">
      <w:pPr>
        <w:rPr>
          <w:b/>
        </w:rPr>
      </w:pPr>
    </w:p>
    <w:p w:rsidR="00B844FA" w:rsidRPr="00546C86" w:rsidRDefault="00B844FA" w:rsidP="005552E4">
      <w:pPr>
        <w:numPr>
          <w:ilvl w:val="0"/>
          <w:numId w:val="10"/>
        </w:numPr>
      </w:pPr>
      <w:r w:rsidRPr="00546C86">
        <w:t xml:space="preserve">The management of systemic hemorrhage will depend upon the location and size of the hemorrhage, and the likelihood the bleeding can be controlled mechanically. </w:t>
      </w:r>
    </w:p>
    <w:p w:rsidR="00B844FA" w:rsidRPr="00546C86" w:rsidRDefault="00B844FA" w:rsidP="005552E4">
      <w:pPr>
        <w:numPr>
          <w:ilvl w:val="0"/>
          <w:numId w:val="10"/>
        </w:numPr>
      </w:pPr>
      <w:r w:rsidRPr="00546C86">
        <w:t>If systemic bleeding is identified or suspected, stat CBC, INR, PTT, fibrinogen</w:t>
      </w:r>
    </w:p>
    <w:p w:rsidR="00B844FA" w:rsidRPr="00546C86" w:rsidRDefault="00B844FA" w:rsidP="005552E4">
      <w:pPr>
        <w:numPr>
          <w:ilvl w:val="0"/>
          <w:numId w:val="10"/>
        </w:numPr>
      </w:pPr>
      <w:r w:rsidRPr="00546C86">
        <w:t>If transfusion is considered cross-match and type for 4 units packed red cells,</w:t>
      </w:r>
    </w:p>
    <w:p w:rsidR="00B844FA" w:rsidRPr="00546C86" w:rsidRDefault="00B844FA" w:rsidP="005552E4">
      <w:pPr>
        <w:numPr>
          <w:ilvl w:val="0"/>
          <w:numId w:val="10"/>
        </w:numPr>
      </w:pPr>
      <w:r w:rsidRPr="00546C86">
        <w:t>15-</w:t>
      </w:r>
      <w:proofErr w:type="gramStart"/>
      <w:r w:rsidRPr="00546C86">
        <w:t>20  units</w:t>
      </w:r>
      <w:proofErr w:type="gramEnd"/>
      <w:r w:rsidRPr="00546C86">
        <w:t xml:space="preserve"> of cryoprecipitate and 1 unit of single donor platelets.</w:t>
      </w:r>
    </w:p>
    <w:p w:rsidR="00B844FA" w:rsidRPr="00546C86" w:rsidRDefault="00B844FA" w:rsidP="005552E4">
      <w:pPr>
        <w:numPr>
          <w:ilvl w:val="0"/>
          <w:numId w:val="10"/>
        </w:numPr>
      </w:pPr>
      <w:r w:rsidRPr="00546C86">
        <w:t>If further bleeding occurs, consider repeat of cryoprecipitate</w:t>
      </w:r>
    </w:p>
    <w:p w:rsidR="00B844FA" w:rsidRPr="00546C86" w:rsidRDefault="00B844FA" w:rsidP="005552E4">
      <w:pPr>
        <w:numPr>
          <w:ilvl w:val="0"/>
          <w:numId w:val="10"/>
        </w:numPr>
      </w:pPr>
      <w:r w:rsidRPr="00546C86">
        <w:t>Monitor vital signs q 15 min</w:t>
      </w:r>
    </w:p>
    <w:p w:rsidR="00B844FA" w:rsidRDefault="00B844FA" w:rsidP="005552E4">
      <w:pPr>
        <w:numPr>
          <w:ilvl w:val="0"/>
          <w:numId w:val="10"/>
        </w:numPr>
      </w:pPr>
      <w:r w:rsidRPr="00546C86">
        <w:t xml:space="preserve">Consider </w:t>
      </w:r>
      <w:r w:rsidR="00DE62F7" w:rsidRPr="00546C86">
        <w:t>neuro-</w:t>
      </w:r>
      <w:r w:rsidRPr="00546C86">
        <w:t>imaging</w:t>
      </w:r>
      <w:r>
        <w:t xml:space="preserve"> studies </w:t>
      </w:r>
    </w:p>
    <w:p w:rsidR="00B844FA" w:rsidRDefault="00B844FA" w:rsidP="005552E4">
      <w:pPr>
        <w:numPr>
          <w:ilvl w:val="0"/>
          <w:numId w:val="10"/>
        </w:numPr>
      </w:pPr>
      <w:r>
        <w:t xml:space="preserve">Consider surgical consultation. </w:t>
      </w:r>
    </w:p>
    <w:p w:rsidR="00B844FA" w:rsidRDefault="00B844FA" w:rsidP="005552E4">
      <w:pPr>
        <w:numPr>
          <w:ilvl w:val="0"/>
          <w:numId w:val="10"/>
        </w:numPr>
      </w:pPr>
      <w:r>
        <w:t>Active bleeding around intravenous and arterial puncture sites may be controlled by direct pressure</w:t>
      </w:r>
    </w:p>
    <w:p w:rsidR="00B844FA" w:rsidRDefault="00B844FA">
      <w:pPr>
        <w:ind w:left="360"/>
      </w:pPr>
    </w:p>
    <w:p w:rsidR="00B844FA" w:rsidRDefault="00B844FA">
      <w:pPr>
        <w:ind w:left="360"/>
      </w:pPr>
    </w:p>
    <w:p w:rsidR="00B844FA" w:rsidRDefault="00B844FA">
      <w:pPr>
        <w:ind w:left="360"/>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426FB1" w:rsidRDefault="00426FB1">
      <w:pPr>
        <w:pStyle w:val="Heading2"/>
        <w:rPr>
          <w:b w:val="0"/>
          <w:bCs/>
          <w:i/>
          <w:iCs/>
        </w:rPr>
      </w:pPr>
    </w:p>
    <w:p w:rsidR="00B844FA" w:rsidRDefault="00B844FA">
      <w:pPr>
        <w:pStyle w:val="Heading2"/>
        <w:rPr>
          <w:b w:val="0"/>
          <w:bCs/>
          <w:i/>
          <w:iCs/>
        </w:rPr>
      </w:pPr>
      <w:r>
        <w:rPr>
          <w:b w:val="0"/>
          <w:bCs/>
          <w:i/>
          <w:iCs/>
        </w:rPr>
        <w:t>Approved by Pharmacy and Therapeutics April 2001</w:t>
      </w:r>
    </w:p>
    <w:p w:rsidR="00B844FA" w:rsidRDefault="00B844FA">
      <w:pPr>
        <w:pStyle w:val="Heading1"/>
      </w:pPr>
      <w:r>
        <w:rPr>
          <w:b w:val="0"/>
          <w:bCs w:val="0"/>
          <w:i/>
          <w:iCs/>
        </w:rPr>
        <w:br w:type="page"/>
      </w:r>
      <w:r>
        <w:lastRenderedPageBreak/>
        <w:t>Appendix C</w:t>
      </w:r>
    </w:p>
    <w:p w:rsidR="00B844FA" w:rsidRDefault="00B844FA">
      <w:pPr>
        <w:pStyle w:val="Heading1"/>
        <w:rPr>
          <w:sz w:val="16"/>
        </w:rPr>
      </w:pPr>
    </w:p>
    <w:p w:rsidR="00B844FA" w:rsidRDefault="00B844FA">
      <w:pPr>
        <w:pStyle w:val="Heading1"/>
      </w:pPr>
      <w:r>
        <w:t xml:space="preserve">Management of Angioedema with Use of </w:t>
      </w:r>
      <w:proofErr w:type="spellStart"/>
      <w:r>
        <w:t>rt</w:t>
      </w:r>
      <w:proofErr w:type="spellEnd"/>
      <w:r>
        <w:t>-PA for Ischemic Stroke</w:t>
      </w:r>
    </w:p>
    <w:p w:rsidR="00B844FA" w:rsidRDefault="00B844FA">
      <w:pPr>
        <w:rPr>
          <w:sz w:val="16"/>
        </w:rPr>
      </w:pPr>
    </w:p>
    <w:p w:rsidR="00B844FA" w:rsidRDefault="00B844FA">
      <w:pPr>
        <w:pStyle w:val="BodyText"/>
        <w:jc w:val="both"/>
        <w:rPr>
          <w:b w:val="0"/>
          <w:bCs w:val="0"/>
          <w:i w:val="0"/>
          <w:iCs w:val="0"/>
        </w:rPr>
      </w:pPr>
      <w:r>
        <w:rPr>
          <w:b w:val="0"/>
          <w:bCs w:val="0"/>
          <w:i w:val="0"/>
          <w:iCs w:val="0"/>
        </w:rPr>
        <w:t xml:space="preserve">Angioedema has been reported in 1.3% (8 of 596; 95% CI 0.6-2.6%) of patients treated with IV </w:t>
      </w:r>
      <w:proofErr w:type="spellStart"/>
      <w:r>
        <w:rPr>
          <w:b w:val="0"/>
          <w:bCs w:val="0"/>
          <w:i w:val="0"/>
          <w:iCs w:val="0"/>
        </w:rPr>
        <w:t>rt</w:t>
      </w:r>
      <w:proofErr w:type="spellEnd"/>
      <w:r>
        <w:rPr>
          <w:b w:val="0"/>
          <w:bCs w:val="0"/>
          <w:i w:val="0"/>
          <w:iCs w:val="0"/>
        </w:rPr>
        <w:t xml:space="preserve">-PA therapy for acute stroke.  It has been associated with previous angiotensin converting enzyme (ACE) inhibitor therapy and with a past history of angioedema reactions.  The reaction has been observed approximately 45-90 minutes after the </w:t>
      </w:r>
      <w:proofErr w:type="spellStart"/>
      <w:r>
        <w:rPr>
          <w:b w:val="0"/>
          <w:bCs w:val="0"/>
          <w:i w:val="0"/>
          <w:iCs w:val="0"/>
        </w:rPr>
        <w:t>rt</w:t>
      </w:r>
      <w:proofErr w:type="spellEnd"/>
      <w:r>
        <w:rPr>
          <w:b w:val="0"/>
          <w:bCs w:val="0"/>
          <w:i w:val="0"/>
          <w:iCs w:val="0"/>
        </w:rPr>
        <w:t xml:space="preserve">-PA infusion was started.  Patients reported dysphagia and inspection of the tongue revealed </w:t>
      </w:r>
      <w:proofErr w:type="spellStart"/>
      <w:r>
        <w:rPr>
          <w:b w:val="0"/>
          <w:bCs w:val="0"/>
          <w:i w:val="0"/>
          <w:iCs w:val="0"/>
        </w:rPr>
        <w:t>hemilingual</w:t>
      </w:r>
      <w:proofErr w:type="spellEnd"/>
      <w:r>
        <w:rPr>
          <w:b w:val="0"/>
          <w:bCs w:val="0"/>
          <w:i w:val="0"/>
          <w:iCs w:val="0"/>
        </w:rPr>
        <w:t xml:space="preserve"> (ipsilateral to the side of the hemiplegia) tongue swelling.  Progression to the entire tongue and oropharynx may occur. </w:t>
      </w:r>
    </w:p>
    <w:p w:rsidR="00B844FA" w:rsidRDefault="00B844FA">
      <w:pPr>
        <w:pStyle w:val="BodyText"/>
        <w:jc w:val="both"/>
      </w:pPr>
    </w:p>
    <w:p w:rsidR="00B844FA" w:rsidRDefault="00B844FA">
      <w:pPr>
        <w:pStyle w:val="BodyText"/>
        <w:jc w:val="both"/>
        <w:rPr>
          <w:bCs w:val="0"/>
          <w:i w:val="0"/>
          <w:iCs w:val="0"/>
        </w:rPr>
      </w:pPr>
      <w:r>
        <w:rPr>
          <w:bCs w:val="0"/>
          <w:i w:val="0"/>
          <w:iCs w:val="0"/>
        </w:rPr>
        <w:t xml:space="preserve">Risk Assessment </w:t>
      </w:r>
    </w:p>
    <w:p w:rsidR="00B844FA" w:rsidRDefault="00B844FA" w:rsidP="005552E4">
      <w:pPr>
        <w:pStyle w:val="BodyText"/>
        <w:numPr>
          <w:ilvl w:val="0"/>
          <w:numId w:val="12"/>
        </w:numPr>
        <w:spacing w:before="120"/>
        <w:ind w:left="357" w:hanging="357"/>
        <w:jc w:val="both"/>
        <w:rPr>
          <w:b w:val="0"/>
          <w:bCs w:val="0"/>
          <w:i w:val="0"/>
          <w:iCs w:val="0"/>
        </w:rPr>
      </w:pPr>
      <w:r>
        <w:rPr>
          <w:b w:val="0"/>
          <w:bCs w:val="0"/>
          <w:i w:val="0"/>
          <w:iCs w:val="0"/>
        </w:rPr>
        <w:t>Inquire if patient has ever experienced angioedema in past.</w:t>
      </w:r>
    </w:p>
    <w:p w:rsidR="00B844FA" w:rsidRDefault="00B844FA" w:rsidP="005552E4">
      <w:pPr>
        <w:pStyle w:val="BodyText"/>
        <w:numPr>
          <w:ilvl w:val="0"/>
          <w:numId w:val="12"/>
        </w:numPr>
        <w:spacing w:before="120"/>
        <w:ind w:left="357" w:hanging="357"/>
        <w:jc w:val="both"/>
        <w:rPr>
          <w:b w:val="0"/>
          <w:bCs w:val="0"/>
          <w:i w:val="0"/>
          <w:iCs w:val="0"/>
        </w:rPr>
      </w:pPr>
      <w:r>
        <w:rPr>
          <w:b w:val="0"/>
          <w:bCs w:val="0"/>
          <w:i w:val="0"/>
          <w:iCs w:val="0"/>
        </w:rPr>
        <w:t xml:space="preserve">Take </w:t>
      </w:r>
      <w:r>
        <w:rPr>
          <w:i w:val="0"/>
          <w:iCs w:val="0"/>
        </w:rPr>
        <w:t xml:space="preserve">ACE inhibitor </w:t>
      </w:r>
      <w:r>
        <w:rPr>
          <w:b w:val="0"/>
          <w:bCs w:val="0"/>
          <w:i w:val="0"/>
          <w:iCs w:val="0"/>
        </w:rPr>
        <w:t xml:space="preserve">history.  The following is a </w:t>
      </w:r>
      <w:r w:rsidRPr="005655CE">
        <w:rPr>
          <w:b w:val="0"/>
          <w:bCs w:val="0"/>
          <w:i w:val="0"/>
          <w:iCs w:val="0"/>
        </w:rPr>
        <w:t>list of currently marketed ACE inhibitors to</w:t>
      </w:r>
      <w:r>
        <w:rPr>
          <w:b w:val="0"/>
          <w:bCs w:val="0"/>
          <w:i w:val="0"/>
          <w:iCs w:val="0"/>
        </w:rPr>
        <w:t xml:space="preserve"> facilitate in their identification:</w:t>
      </w:r>
    </w:p>
    <w:p w:rsidR="00B844FA" w:rsidRDefault="00B844FA">
      <w:r>
        <w:tab/>
        <w:t>Benazepril (</w:t>
      </w:r>
      <w:proofErr w:type="spellStart"/>
      <w:r>
        <w:t>Lotensin</w:t>
      </w:r>
      <w:proofErr w:type="spellEnd"/>
      <w:r>
        <w:rPr>
          <w:vertAlign w:val="superscript"/>
        </w:rPr>
        <w:sym w:font="Symbol" w:char="F0D2"/>
      </w:r>
      <w:r>
        <w:t>)</w:t>
      </w:r>
      <w:r>
        <w:tab/>
      </w:r>
      <w:r>
        <w:tab/>
      </w:r>
      <w:r>
        <w:tab/>
      </w:r>
      <w:r>
        <w:tab/>
        <w:t>Lisinopril (Zestril</w:t>
      </w:r>
      <w:r>
        <w:rPr>
          <w:vertAlign w:val="superscript"/>
        </w:rPr>
        <w:sym w:font="Symbol" w:char="F0D2"/>
      </w:r>
      <w:r>
        <w:t>)</w:t>
      </w:r>
    </w:p>
    <w:p w:rsidR="00B844FA" w:rsidRDefault="00B844FA">
      <w:r>
        <w:tab/>
        <w:t>Captopril (</w:t>
      </w:r>
      <w:proofErr w:type="spellStart"/>
      <w:r>
        <w:t>Capoten</w:t>
      </w:r>
      <w:proofErr w:type="spellEnd"/>
      <w:r>
        <w:rPr>
          <w:vertAlign w:val="superscript"/>
        </w:rPr>
        <w:sym w:font="Symbol" w:char="F0D2"/>
      </w:r>
      <w:r>
        <w:t>, generic brands)</w:t>
      </w:r>
      <w:r>
        <w:tab/>
      </w:r>
      <w:r>
        <w:tab/>
      </w:r>
      <w:r>
        <w:tab/>
        <w:t>Perindopril (Coversyl</w:t>
      </w:r>
      <w:r>
        <w:rPr>
          <w:vertAlign w:val="superscript"/>
        </w:rPr>
        <w:sym w:font="Symbol" w:char="F0D2"/>
      </w:r>
      <w:r>
        <w:t>)</w:t>
      </w:r>
    </w:p>
    <w:p w:rsidR="00B844FA" w:rsidRDefault="00B844FA">
      <w:pPr>
        <w:ind w:firstLine="720"/>
      </w:pPr>
      <w:proofErr w:type="spellStart"/>
      <w:r>
        <w:t>Cilazapril</w:t>
      </w:r>
      <w:proofErr w:type="spellEnd"/>
      <w:r>
        <w:t xml:space="preserve"> (</w:t>
      </w:r>
      <w:proofErr w:type="spellStart"/>
      <w:r>
        <w:t>Inhibace</w:t>
      </w:r>
      <w:proofErr w:type="spellEnd"/>
      <w:r>
        <w:rPr>
          <w:vertAlign w:val="superscript"/>
        </w:rPr>
        <w:sym w:font="Symbol" w:char="F0D2"/>
      </w:r>
      <w:r>
        <w:t>)</w:t>
      </w:r>
      <w:r>
        <w:tab/>
      </w:r>
      <w:r>
        <w:tab/>
      </w:r>
      <w:r>
        <w:tab/>
      </w:r>
      <w:r>
        <w:tab/>
      </w:r>
      <w:r>
        <w:tab/>
        <w:t>Quinapril (</w:t>
      </w:r>
      <w:proofErr w:type="spellStart"/>
      <w:r>
        <w:t>Accupril</w:t>
      </w:r>
      <w:proofErr w:type="spellEnd"/>
      <w:r>
        <w:rPr>
          <w:vertAlign w:val="superscript"/>
        </w:rPr>
        <w:sym w:font="Symbol" w:char="F0D2"/>
      </w:r>
      <w:r>
        <w:t>)</w:t>
      </w:r>
    </w:p>
    <w:p w:rsidR="00B844FA" w:rsidRDefault="00B844FA">
      <w:r>
        <w:tab/>
      </w:r>
      <w:proofErr w:type="spellStart"/>
      <w:r>
        <w:t>Enalapril</w:t>
      </w:r>
      <w:proofErr w:type="spellEnd"/>
      <w:r>
        <w:t xml:space="preserve"> (</w:t>
      </w:r>
      <w:proofErr w:type="spellStart"/>
      <w:r>
        <w:t>Vasotec</w:t>
      </w:r>
      <w:proofErr w:type="spellEnd"/>
      <w:r>
        <w:rPr>
          <w:vertAlign w:val="superscript"/>
        </w:rPr>
        <w:sym w:font="Symbol" w:char="F0D2"/>
      </w:r>
      <w:r>
        <w:t>)</w:t>
      </w:r>
      <w:r>
        <w:tab/>
      </w:r>
      <w:r>
        <w:tab/>
      </w:r>
      <w:r>
        <w:tab/>
      </w:r>
      <w:r>
        <w:tab/>
      </w:r>
      <w:r>
        <w:tab/>
        <w:t>Ramipril (</w:t>
      </w:r>
      <w:proofErr w:type="spellStart"/>
      <w:r>
        <w:t>Altace</w:t>
      </w:r>
      <w:proofErr w:type="spellEnd"/>
      <w:r>
        <w:rPr>
          <w:vertAlign w:val="superscript"/>
        </w:rPr>
        <w:sym w:font="Symbol" w:char="F0D2"/>
      </w:r>
      <w:r>
        <w:t>)</w:t>
      </w:r>
    </w:p>
    <w:p w:rsidR="00B844FA" w:rsidRDefault="00B844FA">
      <w:pPr>
        <w:ind w:firstLine="720"/>
      </w:pPr>
      <w:proofErr w:type="spellStart"/>
      <w:r>
        <w:t>Fosinopril</w:t>
      </w:r>
      <w:proofErr w:type="spellEnd"/>
      <w:r>
        <w:t xml:space="preserve"> (</w:t>
      </w:r>
      <w:proofErr w:type="spellStart"/>
      <w:r>
        <w:t>Monopril</w:t>
      </w:r>
      <w:proofErr w:type="spellEnd"/>
      <w:r>
        <w:rPr>
          <w:vertAlign w:val="superscript"/>
        </w:rPr>
        <w:sym w:font="Symbol" w:char="F0D2"/>
      </w:r>
      <w:r>
        <w:t>)</w:t>
      </w:r>
      <w:r>
        <w:tab/>
      </w:r>
      <w:r>
        <w:tab/>
      </w:r>
      <w:r>
        <w:tab/>
      </w:r>
      <w:r>
        <w:tab/>
      </w:r>
      <w:proofErr w:type="spellStart"/>
      <w:r>
        <w:t>Trandolapril</w:t>
      </w:r>
      <w:proofErr w:type="spellEnd"/>
      <w:r>
        <w:t xml:space="preserve"> (</w:t>
      </w:r>
      <w:proofErr w:type="spellStart"/>
      <w:r>
        <w:t>Mavik</w:t>
      </w:r>
      <w:proofErr w:type="spellEnd"/>
      <w:r>
        <w:rPr>
          <w:vertAlign w:val="superscript"/>
        </w:rPr>
        <w:sym w:font="Symbol" w:char="F0D2"/>
      </w:r>
      <w:r>
        <w:t>)</w:t>
      </w:r>
    </w:p>
    <w:p w:rsidR="00B844FA" w:rsidRDefault="00B844FA" w:rsidP="005552E4">
      <w:pPr>
        <w:pStyle w:val="BodyText2"/>
        <w:numPr>
          <w:ilvl w:val="0"/>
          <w:numId w:val="13"/>
        </w:numPr>
        <w:spacing w:before="120"/>
        <w:ind w:left="357" w:hanging="357"/>
        <w:jc w:val="both"/>
        <w:outlineLvl w:val="0"/>
        <w:rPr>
          <w:rFonts w:ascii="Times New Roman" w:hAnsi="Times New Roman"/>
        </w:rPr>
      </w:pPr>
      <w:r>
        <w:rPr>
          <w:rFonts w:ascii="Times New Roman" w:hAnsi="Times New Roman"/>
        </w:rPr>
        <w:t xml:space="preserve">Although </w:t>
      </w:r>
      <w:r>
        <w:rPr>
          <w:rFonts w:ascii="Times New Roman" w:hAnsi="Times New Roman"/>
          <w:b/>
        </w:rPr>
        <w:t>angiotensin II (ATII) receptor antagonists</w:t>
      </w:r>
      <w:r>
        <w:rPr>
          <w:rFonts w:ascii="Times New Roman" w:hAnsi="Times New Roman"/>
        </w:rPr>
        <w:t xml:space="preserve"> have not been implicated in the angioedema reaction, caution is advised in patients reporting a history of ATII antagonist use.  </w:t>
      </w:r>
      <w:r w:rsidRPr="005655CE">
        <w:rPr>
          <w:rFonts w:ascii="Times New Roman" w:hAnsi="Times New Roman"/>
        </w:rPr>
        <w:t>Currently marketed ATII antagonists include:</w:t>
      </w:r>
    </w:p>
    <w:p w:rsidR="00B844FA" w:rsidRDefault="00B844FA">
      <w:pPr>
        <w:pStyle w:val="BodyText2"/>
        <w:rPr>
          <w:rFonts w:ascii="Times New Roman" w:hAnsi="Times New Roman"/>
        </w:rPr>
      </w:pPr>
      <w:r>
        <w:rPr>
          <w:rFonts w:ascii="Times New Roman" w:hAnsi="Times New Roman"/>
        </w:rPr>
        <w:tab/>
        <w:t>Candesartan (</w:t>
      </w:r>
      <w:proofErr w:type="spellStart"/>
      <w:r>
        <w:rPr>
          <w:rFonts w:ascii="Times New Roman" w:hAnsi="Times New Roman"/>
        </w:rPr>
        <w:t>Atacand</w:t>
      </w:r>
      <w:proofErr w:type="spellEnd"/>
      <w:r>
        <w:rPr>
          <w:rFonts w:ascii="Times New Roman" w:hAnsi="Times New Roman"/>
        </w:rPr>
        <w:sym w:font="Symbol" w:char="F0D4"/>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Epoprosartan</w:t>
      </w:r>
      <w:proofErr w:type="spellEnd"/>
      <w:r>
        <w:rPr>
          <w:rFonts w:ascii="Times New Roman" w:hAnsi="Times New Roman"/>
        </w:rPr>
        <w:t xml:space="preserve"> (</w:t>
      </w:r>
      <w:proofErr w:type="spellStart"/>
      <w:r>
        <w:rPr>
          <w:rFonts w:ascii="Times New Roman" w:hAnsi="Times New Roman"/>
        </w:rPr>
        <w:t>Teveten</w:t>
      </w:r>
      <w:proofErr w:type="spellEnd"/>
      <w:r>
        <w:rPr>
          <w:rFonts w:ascii="Times New Roman" w:hAnsi="Times New Roman"/>
        </w:rPr>
        <w:sym w:font="Symbol" w:char="F0D4"/>
      </w:r>
      <w:r>
        <w:rPr>
          <w:rFonts w:ascii="Times New Roman" w:hAnsi="Times New Roman"/>
        </w:rPr>
        <w:t>)</w:t>
      </w:r>
    </w:p>
    <w:p w:rsidR="00B844FA" w:rsidRPr="00B844FA" w:rsidRDefault="00B844FA">
      <w:pPr>
        <w:pStyle w:val="BodyText2"/>
        <w:ind w:firstLine="720"/>
        <w:rPr>
          <w:rFonts w:ascii="Times New Roman" w:hAnsi="Times New Roman"/>
          <w:lang w:val="fr-CA"/>
        </w:rPr>
      </w:pPr>
      <w:proofErr w:type="spellStart"/>
      <w:r w:rsidRPr="00B844FA">
        <w:rPr>
          <w:rFonts w:ascii="Times New Roman" w:hAnsi="Times New Roman"/>
          <w:lang w:val="fr-CA"/>
        </w:rPr>
        <w:t>Irbesartan</w:t>
      </w:r>
      <w:proofErr w:type="spellEnd"/>
      <w:r w:rsidRPr="00B844FA">
        <w:rPr>
          <w:rFonts w:ascii="Times New Roman" w:hAnsi="Times New Roman"/>
          <w:lang w:val="fr-CA"/>
        </w:rPr>
        <w:t xml:space="preserve"> (</w:t>
      </w:r>
      <w:proofErr w:type="spellStart"/>
      <w:r w:rsidRPr="00B844FA">
        <w:rPr>
          <w:rFonts w:ascii="Times New Roman" w:hAnsi="Times New Roman"/>
          <w:lang w:val="fr-CA"/>
        </w:rPr>
        <w:t>Avapro</w:t>
      </w:r>
      <w:proofErr w:type="spellEnd"/>
      <w:r>
        <w:rPr>
          <w:rFonts w:ascii="Times New Roman" w:hAnsi="Times New Roman"/>
        </w:rPr>
        <w:sym w:font="Symbol" w:char="F0D4"/>
      </w:r>
      <w:r w:rsidRPr="00B844FA">
        <w:rPr>
          <w:rFonts w:ascii="Times New Roman" w:hAnsi="Times New Roman"/>
          <w:lang w:val="fr-CA"/>
        </w:rPr>
        <w:t>)</w:t>
      </w:r>
      <w:r w:rsidRPr="00B844FA">
        <w:rPr>
          <w:rFonts w:ascii="Times New Roman" w:hAnsi="Times New Roman"/>
          <w:lang w:val="fr-CA"/>
        </w:rPr>
        <w:tab/>
      </w:r>
      <w:r w:rsidRPr="00B844FA">
        <w:rPr>
          <w:rFonts w:ascii="Times New Roman" w:hAnsi="Times New Roman"/>
          <w:lang w:val="fr-CA"/>
        </w:rPr>
        <w:tab/>
      </w:r>
      <w:r w:rsidRPr="00B844FA">
        <w:rPr>
          <w:rFonts w:ascii="Times New Roman" w:hAnsi="Times New Roman"/>
          <w:lang w:val="fr-CA"/>
        </w:rPr>
        <w:tab/>
      </w:r>
      <w:r w:rsidRPr="00B844FA">
        <w:rPr>
          <w:rFonts w:ascii="Times New Roman" w:hAnsi="Times New Roman"/>
          <w:lang w:val="fr-CA"/>
        </w:rPr>
        <w:tab/>
      </w:r>
      <w:r w:rsidRPr="00B844FA">
        <w:rPr>
          <w:rFonts w:ascii="Times New Roman" w:hAnsi="Times New Roman"/>
          <w:lang w:val="fr-CA"/>
        </w:rPr>
        <w:tab/>
      </w:r>
      <w:proofErr w:type="spellStart"/>
      <w:r w:rsidRPr="00B844FA">
        <w:rPr>
          <w:rFonts w:ascii="Times New Roman" w:hAnsi="Times New Roman"/>
          <w:lang w:val="fr-CA"/>
        </w:rPr>
        <w:t>Telmisartan</w:t>
      </w:r>
      <w:proofErr w:type="spellEnd"/>
      <w:r w:rsidRPr="00B844FA">
        <w:rPr>
          <w:rFonts w:ascii="Times New Roman" w:hAnsi="Times New Roman"/>
          <w:lang w:val="fr-CA"/>
        </w:rPr>
        <w:t xml:space="preserve"> (</w:t>
      </w:r>
      <w:proofErr w:type="spellStart"/>
      <w:r w:rsidRPr="00B844FA">
        <w:rPr>
          <w:rFonts w:ascii="Times New Roman" w:hAnsi="Times New Roman"/>
          <w:lang w:val="fr-CA"/>
        </w:rPr>
        <w:t>Micardis</w:t>
      </w:r>
      <w:proofErr w:type="spellEnd"/>
      <w:r>
        <w:rPr>
          <w:rFonts w:ascii="Times New Roman" w:hAnsi="Times New Roman"/>
        </w:rPr>
        <w:sym w:font="Symbol" w:char="F0D4"/>
      </w:r>
      <w:r w:rsidRPr="00B844FA">
        <w:rPr>
          <w:rFonts w:ascii="Times New Roman" w:hAnsi="Times New Roman"/>
          <w:lang w:val="fr-CA"/>
        </w:rPr>
        <w:t>)</w:t>
      </w:r>
      <w:r w:rsidRPr="00B844FA">
        <w:rPr>
          <w:rFonts w:ascii="Times New Roman" w:hAnsi="Times New Roman"/>
          <w:lang w:val="fr-CA"/>
        </w:rPr>
        <w:tab/>
      </w:r>
      <w:r w:rsidRPr="00B844FA">
        <w:rPr>
          <w:rFonts w:ascii="Times New Roman" w:hAnsi="Times New Roman"/>
          <w:lang w:val="fr-CA"/>
        </w:rPr>
        <w:tab/>
      </w:r>
      <w:proofErr w:type="spellStart"/>
      <w:r w:rsidRPr="00B844FA">
        <w:rPr>
          <w:rFonts w:ascii="Times New Roman" w:hAnsi="Times New Roman"/>
          <w:lang w:val="fr-CA"/>
        </w:rPr>
        <w:t>Valsartan</w:t>
      </w:r>
      <w:proofErr w:type="spellEnd"/>
      <w:r w:rsidRPr="00B844FA">
        <w:rPr>
          <w:rFonts w:ascii="Times New Roman" w:hAnsi="Times New Roman"/>
          <w:lang w:val="fr-CA"/>
        </w:rPr>
        <w:t xml:space="preserve"> (</w:t>
      </w:r>
      <w:proofErr w:type="spellStart"/>
      <w:r w:rsidRPr="00B844FA">
        <w:rPr>
          <w:rFonts w:ascii="Times New Roman" w:hAnsi="Times New Roman"/>
          <w:lang w:val="fr-CA"/>
        </w:rPr>
        <w:t>Diovan</w:t>
      </w:r>
      <w:proofErr w:type="spellEnd"/>
      <w:r>
        <w:rPr>
          <w:rFonts w:ascii="Times New Roman" w:hAnsi="Times New Roman"/>
        </w:rPr>
        <w:sym w:font="Symbol" w:char="F0D4"/>
      </w:r>
      <w:r w:rsidRPr="00B844FA">
        <w:rPr>
          <w:rFonts w:ascii="Times New Roman" w:hAnsi="Times New Roman"/>
          <w:lang w:val="fr-CA"/>
        </w:rPr>
        <w:t>)</w:t>
      </w:r>
      <w:r w:rsidRPr="00B844FA">
        <w:rPr>
          <w:rFonts w:ascii="Times New Roman" w:hAnsi="Times New Roman"/>
          <w:lang w:val="fr-CA"/>
        </w:rPr>
        <w:tab/>
      </w:r>
      <w:r w:rsidRPr="00B844FA">
        <w:rPr>
          <w:rFonts w:ascii="Times New Roman" w:hAnsi="Times New Roman"/>
          <w:lang w:val="fr-CA"/>
        </w:rPr>
        <w:tab/>
      </w:r>
      <w:r w:rsidRPr="00B844FA">
        <w:rPr>
          <w:rFonts w:ascii="Times New Roman" w:hAnsi="Times New Roman"/>
          <w:lang w:val="fr-CA"/>
        </w:rPr>
        <w:tab/>
      </w:r>
      <w:r w:rsidRPr="00B844FA">
        <w:rPr>
          <w:rFonts w:ascii="Times New Roman" w:hAnsi="Times New Roman"/>
          <w:lang w:val="fr-CA"/>
        </w:rPr>
        <w:tab/>
      </w:r>
      <w:r w:rsidRPr="00B844FA">
        <w:rPr>
          <w:rFonts w:ascii="Times New Roman" w:hAnsi="Times New Roman"/>
          <w:lang w:val="fr-CA"/>
        </w:rPr>
        <w:tab/>
      </w:r>
      <w:proofErr w:type="spellStart"/>
      <w:r w:rsidRPr="00B844FA">
        <w:rPr>
          <w:rFonts w:ascii="Times New Roman" w:hAnsi="Times New Roman"/>
          <w:lang w:val="fr-CA"/>
        </w:rPr>
        <w:t>Losartan</w:t>
      </w:r>
      <w:proofErr w:type="spellEnd"/>
      <w:r w:rsidRPr="00B844FA">
        <w:rPr>
          <w:rFonts w:ascii="Times New Roman" w:hAnsi="Times New Roman"/>
          <w:lang w:val="fr-CA"/>
        </w:rPr>
        <w:t xml:space="preserve"> (</w:t>
      </w:r>
      <w:proofErr w:type="spellStart"/>
      <w:r w:rsidRPr="00B844FA">
        <w:rPr>
          <w:rFonts w:ascii="Times New Roman" w:hAnsi="Times New Roman"/>
          <w:lang w:val="fr-CA"/>
        </w:rPr>
        <w:t>Cozaar</w:t>
      </w:r>
      <w:proofErr w:type="spellEnd"/>
      <w:r>
        <w:rPr>
          <w:rFonts w:ascii="Times New Roman" w:hAnsi="Times New Roman"/>
        </w:rPr>
        <w:sym w:font="Symbol" w:char="F0D4"/>
      </w:r>
      <w:r w:rsidRPr="00B844FA">
        <w:rPr>
          <w:rFonts w:ascii="Times New Roman" w:hAnsi="Times New Roman"/>
          <w:lang w:val="fr-CA"/>
        </w:rPr>
        <w:t>)</w:t>
      </w:r>
    </w:p>
    <w:p w:rsidR="00B844FA" w:rsidRDefault="00B844FA" w:rsidP="005552E4">
      <w:pPr>
        <w:pStyle w:val="BodyText2"/>
        <w:numPr>
          <w:ilvl w:val="0"/>
          <w:numId w:val="14"/>
        </w:numPr>
        <w:spacing w:before="120"/>
        <w:ind w:left="357" w:hanging="357"/>
        <w:jc w:val="both"/>
        <w:outlineLvl w:val="0"/>
        <w:rPr>
          <w:rFonts w:ascii="Times New Roman" w:hAnsi="Times New Roman"/>
        </w:rPr>
      </w:pPr>
      <w:r>
        <w:rPr>
          <w:rFonts w:ascii="Times New Roman" w:hAnsi="Times New Roman"/>
        </w:rPr>
        <w:t xml:space="preserve">Note:  Combination diuretic and ACE inhibitor or ATII formulations are also currently marketed and should be noted.  </w:t>
      </w:r>
    </w:p>
    <w:p w:rsidR="00B844FA" w:rsidRDefault="00B844FA">
      <w:pPr>
        <w:ind w:left="720"/>
        <w:rPr>
          <w:sz w:val="16"/>
        </w:rPr>
      </w:pPr>
    </w:p>
    <w:p w:rsidR="00B844FA" w:rsidRDefault="00B844FA">
      <w:pPr>
        <w:pStyle w:val="BodyText"/>
        <w:jc w:val="both"/>
        <w:rPr>
          <w:bCs w:val="0"/>
          <w:i w:val="0"/>
          <w:iCs w:val="0"/>
        </w:rPr>
      </w:pPr>
      <w:r>
        <w:rPr>
          <w:bCs w:val="0"/>
          <w:i w:val="0"/>
          <w:iCs w:val="0"/>
        </w:rPr>
        <w:t>Monitoring Parameters</w:t>
      </w:r>
    </w:p>
    <w:p w:rsidR="00B844FA" w:rsidRDefault="00B844FA" w:rsidP="005552E4">
      <w:pPr>
        <w:pStyle w:val="BodyText"/>
        <w:numPr>
          <w:ilvl w:val="0"/>
          <w:numId w:val="15"/>
        </w:numPr>
        <w:spacing w:before="120"/>
        <w:ind w:left="357" w:hanging="357"/>
        <w:jc w:val="both"/>
        <w:rPr>
          <w:b w:val="0"/>
          <w:bCs w:val="0"/>
          <w:i w:val="0"/>
          <w:iCs w:val="0"/>
        </w:rPr>
      </w:pPr>
      <w:r>
        <w:rPr>
          <w:b w:val="0"/>
          <w:bCs w:val="0"/>
          <w:i w:val="0"/>
          <w:iCs w:val="0"/>
        </w:rPr>
        <w:t xml:space="preserve">Observe for facial, tongue, and/or pharyngeal angioedema 30 minutes, 45 minutes, 60 minutes and 75 minutes after initiation of IV </w:t>
      </w:r>
      <w:proofErr w:type="spellStart"/>
      <w:r>
        <w:rPr>
          <w:b w:val="0"/>
          <w:bCs w:val="0"/>
          <w:i w:val="0"/>
          <w:iCs w:val="0"/>
        </w:rPr>
        <w:t>rt</w:t>
      </w:r>
      <w:proofErr w:type="spellEnd"/>
      <w:r>
        <w:rPr>
          <w:b w:val="0"/>
          <w:bCs w:val="0"/>
          <w:i w:val="0"/>
          <w:iCs w:val="0"/>
        </w:rPr>
        <w:t xml:space="preserve">-PA infusion and </w:t>
      </w:r>
      <w:r w:rsidR="00E11F2A">
        <w:rPr>
          <w:b w:val="0"/>
          <w:bCs w:val="0"/>
          <w:i w:val="0"/>
          <w:iCs w:val="0"/>
        </w:rPr>
        <w:t xml:space="preserve">q4-6 h for </w:t>
      </w:r>
      <w:r>
        <w:rPr>
          <w:b w:val="0"/>
          <w:bCs w:val="0"/>
          <w:i w:val="0"/>
          <w:iCs w:val="0"/>
        </w:rPr>
        <w:t>24 hours afterwards</w:t>
      </w:r>
    </w:p>
    <w:p w:rsidR="00B844FA" w:rsidRDefault="00B844FA" w:rsidP="005552E4">
      <w:pPr>
        <w:pStyle w:val="BodyText"/>
        <w:numPr>
          <w:ilvl w:val="0"/>
          <w:numId w:val="15"/>
        </w:numPr>
        <w:ind w:left="357" w:hanging="357"/>
        <w:jc w:val="both"/>
        <w:rPr>
          <w:b w:val="0"/>
          <w:bCs w:val="0"/>
          <w:i w:val="0"/>
          <w:iCs w:val="0"/>
        </w:rPr>
      </w:pPr>
      <w:r>
        <w:rPr>
          <w:b w:val="0"/>
          <w:bCs w:val="0"/>
          <w:i w:val="0"/>
          <w:iCs w:val="0"/>
        </w:rPr>
        <w:t>Continuous O</w:t>
      </w:r>
      <w:r>
        <w:rPr>
          <w:b w:val="0"/>
          <w:bCs w:val="0"/>
          <w:i w:val="0"/>
          <w:iCs w:val="0"/>
          <w:vertAlign w:val="subscript"/>
        </w:rPr>
        <w:t>2</w:t>
      </w:r>
      <w:r>
        <w:rPr>
          <w:b w:val="0"/>
          <w:bCs w:val="0"/>
          <w:i w:val="0"/>
          <w:iCs w:val="0"/>
        </w:rPr>
        <w:t xml:space="preserve"> monitoring during </w:t>
      </w:r>
      <w:proofErr w:type="spellStart"/>
      <w:r>
        <w:rPr>
          <w:b w:val="0"/>
          <w:bCs w:val="0"/>
          <w:i w:val="0"/>
          <w:iCs w:val="0"/>
        </w:rPr>
        <w:t>rt</w:t>
      </w:r>
      <w:proofErr w:type="spellEnd"/>
      <w:r>
        <w:rPr>
          <w:b w:val="0"/>
          <w:bCs w:val="0"/>
          <w:i w:val="0"/>
          <w:iCs w:val="0"/>
        </w:rPr>
        <w:t>-PA IV infusion and for 24 hours afterward</w:t>
      </w:r>
    </w:p>
    <w:p w:rsidR="00B844FA" w:rsidRDefault="00B844FA">
      <w:pPr>
        <w:pStyle w:val="BodyText"/>
        <w:jc w:val="both"/>
        <w:rPr>
          <w:b w:val="0"/>
        </w:rPr>
      </w:pPr>
    </w:p>
    <w:p w:rsidR="00B844FA" w:rsidRDefault="00B844FA">
      <w:pPr>
        <w:pStyle w:val="BodyText"/>
        <w:jc w:val="both"/>
        <w:rPr>
          <w:bCs w:val="0"/>
          <w:i w:val="0"/>
          <w:iCs w:val="0"/>
        </w:rPr>
      </w:pPr>
      <w:r>
        <w:rPr>
          <w:bCs w:val="0"/>
          <w:i w:val="0"/>
          <w:iCs w:val="0"/>
        </w:rPr>
        <w:t>Management</w:t>
      </w:r>
    </w:p>
    <w:p w:rsidR="00B844FA" w:rsidRDefault="00B844FA">
      <w:pPr>
        <w:pStyle w:val="BodyText"/>
        <w:spacing w:before="120"/>
        <w:ind w:left="357" w:hanging="357"/>
        <w:jc w:val="both"/>
        <w:rPr>
          <w:b w:val="0"/>
          <w:bCs w:val="0"/>
          <w:i w:val="0"/>
          <w:iCs w:val="0"/>
        </w:rPr>
      </w:pPr>
      <w:r>
        <w:rPr>
          <w:b w:val="0"/>
          <w:bCs w:val="0"/>
          <w:i w:val="0"/>
          <w:iCs w:val="0"/>
        </w:rPr>
        <w:t>Treat angioedema aggressively with the following agents until resolution:</w:t>
      </w:r>
    </w:p>
    <w:p w:rsidR="00B844FA" w:rsidRDefault="00B844FA" w:rsidP="005552E4">
      <w:pPr>
        <w:pStyle w:val="BodyText"/>
        <w:numPr>
          <w:ilvl w:val="0"/>
          <w:numId w:val="16"/>
        </w:numPr>
        <w:ind w:left="720" w:hanging="720"/>
        <w:jc w:val="both"/>
        <w:rPr>
          <w:b w:val="0"/>
          <w:bCs w:val="0"/>
          <w:i w:val="0"/>
          <w:iCs w:val="0"/>
        </w:rPr>
      </w:pPr>
      <w:r>
        <w:rPr>
          <w:b w:val="0"/>
          <w:bCs w:val="0"/>
          <w:i w:val="0"/>
          <w:iCs w:val="0"/>
        </w:rPr>
        <w:t>Diphenhydramine (Benadryl) 50 mg IV Q4H</w:t>
      </w:r>
    </w:p>
    <w:p w:rsidR="00B844FA" w:rsidRDefault="00B844FA" w:rsidP="005552E4">
      <w:pPr>
        <w:pStyle w:val="BodyText"/>
        <w:numPr>
          <w:ilvl w:val="0"/>
          <w:numId w:val="16"/>
        </w:numPr>
        <w:ind w:left="720" w:hanging="720"/>
        <w:jc w:val="both"/>
        <w:rPr>
          <w:b w:val="0"/>
          <w:bCs w:val="0"/>
          <w:i w:val="0"/>
          <w:iCs w:val="0"/>
        </w:rPr>
      </w:pPr>
      <w:r>
        <w:rPr>
          <w:b w:val="0"/>
          <w:bCs w:val="0"/>
          <w:i w:val="0"/>
          <w:iCs w:val="0"/>
        </w:rPr>
        <w:t>Ranitidine 50 mg IV Q8H</w:t>
      </w:r>
    </w:p>
    <w:p w:rsidR="00B844FA" w:rsidRDefault="00B844FA" w:rsidP="005552E4">
      <w:pPr>
        <w:pStyle w:val="BodyText"/>
        <w:numPr>
          <w:ilvl w:val="0"/>
          <w:numId w:val="16"/>
        </w:numPr>
        <w:ind w:left="720" w:hanging="720"/>
        <w:jc w:val="both"/>
        <w:rPr>
          <w:b w:val="0"/>
          <w:bCs w:val="0"/>
          <w:i w:val="0"/>
          <w:iCs w:val="0"/>
        </w:rPr>
      </w:pPr>
      <w:r>
        <w:rPr>
          <w:b w:val="0"/>
          <w:bCs w:val="0"/>
          <w:i w:val="0"/>
          <w:iCs w:val="0"/>
        </w:rPr>
        <w:t>If severe, consider Hydrocortisone 100 mg IV or Methylprednisolone 80 mg IV Q8H</w:t>
      </w:r>
    </w:p>
    <w:p w:rsidR="00B844FA" w:rsidRDefault="00B844FA" w:rsidP="005552E4">
      <w:pPr>
        <w:pStyle w:val="BodyText"/>
        <w:numPr>
          <w:ilvl w:val="0"/>
          <w:numId w:val="16"/>
        </w:numPr>
        <w:ind w:left="284" w:hanging="284"/>
        <w:jc w:val="both"/>
        <w:rPr>
          <w:b w:val="0"/>
          <w:bCs w:val="0"/>
          <w:i w:val="0"/>
          <w:iCs w:val="0"/>
        </w:rPr>
      </w:pPr>
      <w:r>
        <w:rPr>
          <w:b w:val="0"/>
          <w:bCs w:val="0"/>
          <w:i w:val="0"/>
          <w:iCs w:val="0"/>
        </w:rPr>
        <w:t>Avoid use of epinephrine due to possibility of increasing risk of intracerebral hemorrhage secondary to sudden rise in blood pressure</w:t>
      </w:r>
    </w:p>
    <w:p w:rsidR="00B844FA" w:rsidRDefault="00B844FA">
      <w:pPr>
        <w:pStyle w:val="BodyText"/>
        <w:jc w:val="both"/>
        <w:rPr>
          <w:b w:val="0"/>
          <w:bCs w:val="0"/>
          <w:i w:val="0"/>
          <w:iCs w:val="0"/>
        </w:rPr>
      </w:pPr>
      <w:r>
        <w:rPr>
          <w:b w:val="0"/>
          <w:bCs w:val="0"/>
          <w:i w:val="0"/>
          <w:iCs w:val="0"/>
        </w:rPr>
        <w:t xml:space="preserve"> </w:t>
      </w:r>
    </w:p>
    <w:p w:rsidR="00B844FA" w:rsidRPr="001764F3" w:rsidRDefault="00B844FA">
      <w:pPr>
        <w:pStyle w:val="Heading2"/>
        <w:rPr>
          <w:b w:val="0"/>
          <w:bCs/>
          <w:sz w:val="22"/>
          <w:szCs w:val="22"/>
        </w:rPr>
      </w:pPr>
      <w:r w:rsidRPr="001764F3">
        <w:rPr>
          <w:b w:val="0"/>
          <w:bCs/>
          <w:i/>
          <w:iCs/>
          <w:sz w:val="22"/>
          <w:szCs w:val="22"/>
        </w:rPr>
        <w:t>Approved by Pharmacy and Therapeutics April 2001</w:t>
      </w:r>
    </w:p>
    <w:p w:rsidR="00F5218C" w:rsidRDefault="00B844FA" w:rsidP="00F5218C">
      <w:pPr>
        <w:pStyle w:val="Footer"/>
        <w:rPr>
          <w:sz w:val="20"/>
        </w:rPr>
      </w:pPr>
      <w:r>
        <w:rPr>
          <w:sz w:val="20"/>
        </w:rPr>
        <w:t xml:space="preserve">Reference:  Hill M et al.  </w:t>
      </w:r>
      <w:proofErr w:type="spellStart"/>
      <w:proofErr w:type="gramStart"/>
      <w:r>
        <w:rPr>
          <w:sz w:val="20"/>
        </w:rPr>
        <w:t>Anaphylactoid</w:t>
      </w:r>
      <w:proofErr w:type="spellEnd"/>
      <w:r>
        <w:rPr>
          <w:sz w:val="20"/>
        </w:rPr>
        <w:t xml:space="preserve"> reactions and angioedema during </w:t>
      </w:r>
      <w:proofErr w:type="spellStart"/>
      <w:r>
        <w:rPr>
          <w:sz w:val="20"/>
        </w:rPr>
        <w:t>alteplase</w:t>
      </w:r>
      <w:proofErr w:type="spellEnd"/>
      <w:r>
        <w:rPr>
          <w:sz w:val="20"/>
        </w:rPr>
        <w:t xml:space="preserve"> treatment of acute ischemic stroke.</w:t>
      </w:r>
      <w:proofErr w:type="gramEnd"/>
      <w:r>
        <w:rPr>
          <w:sz w:val="20"/>
        </w:rPr>
        <w:t xml:space="preserve"> </w:t>
      </w:r>
      <w:r>
        <w:rPr>
          <w:i/>
          <w:sz w:val="20"/>
        </w:rPr>
        <w:t>CMAJ</w:t>
      </w:r>
      <w:r>
        <w:rPr>
          <w:sz w:val="20"/>
        </w:rPr>
        <w:t xml:space="preserve"> 2000; 162(9):1281-4.</w:t>
      </w:r>
    </w:p>
    <w:p w:rsidR="00DE62F7" w:rsidRPr="00F5218C" w:rsidRDefault="00DE62F7" w:rsidP="00F5218C">
      <w:pPr>
        <w:pStyle w:val="Footer"/>
        <w:rPr>
          <w:b/>
          <w:sz w:val="20"/>
        </w:rPr>
      </w:pPr>
      <w:r w:rsidRPr="00F5218C">
        <w:rPr>
          <w:b/>
          <w:sz w:val="22"/>
          <w:szCs w:val="22"/>
        </w:rPr>
        <w:lastRenderedPageBreak/>
        <w:t>Appendix D</w:t>
      </w:r>
    </w:p>
    <w:p w:rsidR="00DE62F7" w:rsidRDefault="00DE62F7">
      <w:pPr>
        <w:pStyle w:val="Footer"/>
        <w:rPr>
          <w:sz w:val="20"/>
        </w:rPr>
      </w:pPr>
    </w:p>
    <w:tbl>
      <w:tblPr>
        <w:tblW w:w="9663" w:type="dxa"/>
        <w:tblInd w:w="93" w:type="dxa"/>
        <w:tblLook w:val="0000" w:firstRow="0" w:lastRow="0" w:firstColumn="0" w:lastColumn="0" w:noHBand="0" w:noVBand="0"/>
      </w:tblPr>
      <w:tblGrid>
        <w:gridCol w:w="299"/>
        <w:gridCol w:w="1305"/>
        <w:gridCol w:w="216"/>
        <w:gridCol w:w="1416"/>
        <w:gridCol w:w="1603"/>
        <w:gridCol w:w="1343"/>
        <w:gridCol w:w="1070"/>
        <w:gridCol w:w="865"/>
        <w:gridCol w:w="1546"/>
      </w:tblGrid>
      <w:tr w:rsidR="00E13C87" w:rsidTr="00E13C87">
        <w:trPr>
          <w:trHeight w:val="207"/>
        </w:trPr>
        <w:tc>
          <w:tcPr>
            <w:tcW w:w="1604" w:type="dxa"/>
            <w:gridSpan w:val="2"/>
            <w:tcBorders>
              <w:top w:val="nil"/>
              <w:left w:val="nil"/>
              <w:bottom w:val="single" w:sz="12" w:space="0" w:color="auto"/>
              <w:right w:val="nil"/>
            </w:tcBorders>
          </w:tcPr>
          <w:p w:rsidR="00E13C87" w:rsidRDefault="00E13C87">
            <w:pPr>
              <w:jc w:val="center"/>
              <w:rPr>
                <w:rFonts w:ascii="Arial" w:hAnsi="Arial" w:cs="Arial"/>
                <w:b/>
                <w:bCs/>
                <w:sz w:val="20"/>
                <w:szCs w:val="20"/>
              </w:rPr>
            </w:pPr>
          </w:p>
        </w:tc>
        <w:tc>
          <w:tcPr>
            <w:tcW w:w="8059" w:type="dxa"/>
            <w:gridSpan w:val="7"/>
            <w:tcBorders>
              <w:top w:val="nil"/>
              <w:left w:val="nil"/>
              <w:bottom w:val="single" w:sz="12" w:space="0" w:color="auto"/>
              <w:right w:val="nil"/>
            </w:tcBorders>
            <w:shd w:val="clear" w:color="auto" w:fill="auto"/>
            <w:noWrap/>
            <w:vAlign w:val="bottom"/>
          </w:tcPr>
          <w:p w:rsidR="00E13C87" w:rsidRPr="00DE62F7" w:rsidRDefault="00E13C87">
            <w:pPr>
              <w:jc w:val="center"/>
              <w:rPr>
                <w:rFonts w:ascii="Arial" w:hAnsi="Arial" w:cs="Arial"/>
                <w:b/>
                <w:bCs/>
                <w:sz w:val="20"/>
                <w:szCs w:val="20"/>
              </w:rPr>
            </w:pPr>
            <w:bookmarkStart w:id="1" w:name="RANGE!A1:D56"/>
            <w:proofErr w:type="spellStart"/>
            <w:r>
              <w:rPr>
                <w:rFonts w:ascii="Arial" w:hAnsi="Arial" w:cs="Arial"/>
                <w:b/>
                <w:bCs/>
                <w:sz w:val="20"/>
                <w:szCs w:val="20"/>
              </w:rPr>
              <w:t>r</w:t>
            </w:r>
            <w:r w:rsidRPr="00DE62F7">
              <w:rPr>
                <w:rFonts w:ascii="Arial" w:hAnsi="Arial" w:cs="Arial"/>
                <w:b/>
                <w:bCs/>
                <w:sz w:val="20"/>
                <w:szCs w:val="20"/>
              </w:rPr>
              <w:t>t</w:t>
            </w:r>
            <w:proofErr w:type="spellEnd"/>
            <w:r w:rsidRPr="00DE62F7">
              <w:rPr>
                <w:rFonts w:ascii="Arial" w:hAnsi="Arial" w:cs="Arial"/>
                <w:b/>
                <w:bCs/>
                <w:sz w:val="20"/>
                <w:szCs w:val="20"/>
              </w:rPr>
              <w:t>-PA 1 mg/ml Infusion for Acute Ischemic Stroke</w:t>
            </w:r>
            <w:bookmarkEnd w:id="1"/>
          </w:p>
        </w:tc>
      </w:tr>
      <w:tr w:rsidR="00E13C87" w:rsidRPr="00DE62F7" w:rsidTr="00E13C87">
        <w:trPr>
          <w:trHeight w:val="312"/>
        </w:trPr>
        <w:tc>
          <w:tcPr>
            <w:tcW w:w="1820" w:type="dxa"/>
            <w:gridSpan w:val="3"/>
            <w:tcBorders>
              <w:top w:val="nil"/>
              <w:left w:val="single" w:sz="12" w:space="0" w:color="auto"/>
              <w:bottom w:val="single" w:sz="12" w:space="0" w:color="auto"/>
              <w:right w:val="single" w:sz="12" w:space="0" w:color="auto"/>
            </w:tcBorders>
            <w:shd w:val="clear" w:color="auto" w:fill="auto"/>
            <w:noWrap/>
            <w:vAlign w:val="bottom"/>
          </w:tcPr>
          <w:p w:rsidR="00E13C87" w:rsidRPr="00DE62F7" w:rsidRDefault="00E13C87" w:rsidP="00E13C87">
            <w:pPr>
              <w:rPr>
                <w:rFonts w:ascii="Arial" w:hAnsi="Arial" w:cs="Arial"/>
                <w:sz w:val="18"/>
                <w:szCs w:val="18"/>
              </w:rPr>
            </w:pPr>
            <w:r w:rsidRPr="00DE62F7">
              <w:rPr>
                <w:rFonts w:ascii="Arial" w:hAnsi="Arial" w:cs="Arial"/>
                <w:sz w:val="18"/>
                <w:szCs w:val="18"/>
              </w:rPr>
              <w:t>Patient weight (kg)</w:t>
            </w:r>
          </w:p>
        </w:tc>
        <w:tc>
          <w:tcPr>
            <w:tcW w:w="1416" w:type="dxa"/>
            <w:tcBorders>
              <w:top w:val="nil"/>
              <w:left w:val="nil"/>
              <w:bottom w:val="single" w:sz="12" w:space="0" w:color="auto"/>
              <w:right w:val="nil"/>
            </w:tcBorders>
          </w:tcPr>
          <w:p w:rsidR="00E13C87" w:rsidRPr="00E13C87" w:rsidRDefault="00E13C87" w:rsidP="00E13C87">
            <w:pPr>
              <w:rPr>
                <w:rFonts w:ascii="Arial" w:hAnsi="Arial" w:cs="Arial"/>
                <w:sz w:val="20"/>
                <w:szCs w:val="20"/>
              </w:rPr>
            </w:pPr>
            <w:r>
              <w:rPr>
                <w:rFonts w:ascii="Arial" w:hAnsi="Arial" w:cs="Arial"/>
                <w:sz w:val="20"/>
                <w:szCs w:val="20"/>
              </w:rPr>
              <w:t>Patient weight (</w:t>
            </w:r>
            <w:proofErr w:type="spellStart"/>
            <w:r>
              <w:rPr>
                <w:rFonts w:ascii="Arial" w:hAnsi="Arial" w:cs="Arial"/>
                <w:sz w:val="20"/>
                <w:szCs w:val="20"/>
              </w:rPr>
              <w:t>lbs</w:t>
            </w:r>
            <w:proofErr w:type="spellEnd"/>
            <w:r>
              <w:rPr>
                <w:rFonts w:ascii="Arial" w:hAnsi="Arial" w:cs="Arial"/>
                <w:sz w:val="20"/>
                <w:szCs w:val="20"/>
              </w:rPr>
              <w:t>)</w:t>
            </w:r>
          </w:p>
        </w:tc>
        <w:tc>
          <w:tcPr>
            <w:tcW w:w="1603" w:type="dxa"/>
            <w:tcBorders>
              <w:top w:val="nil"/>
              <w:left w:val="nil"/>
              <w:bottom w:val="single" w:sz="12" w:space="0" w:color="auto"/>
              <w:right w:val="nil"/>
            </w:tcBorders>
            <w:shd w:val="clear" w:color="auto" w:fill="auto"/>
            <w:noWrap/>
            <w:vAlign w:val="bottom"/>
          </w:tcPr>
          <w:p w:rsidR="00E13C87" w:rsidRPr="00DE62F7" w:rsidRDefault="00E13C87" w:rsidP="00E13C87">
            <w:pPr>
              <w:rPr>
                <w:rFonts w:ascii="Arial" w:hAnsi="Arial" w:cs="Arial"/>
                <w:sz w:val="18"/>
                <w:szCs w:val="18"/>
              </w:rPr>
            </w:pPr>
            <w:r w:rsidRPr="00DE62F7">
              <w:rPr>
                <w:rFonts w:ascii="Arial" w:hAnsi="Arial" w:cs="Arial"/>
                <w:sz w:val="18"/>
                <w:szCs w:val="18"/>
              </w:rPr>
              <w:t>10% bolus (mL)</w:t>
            </w:r>
          </w:p>
        </w:tc>
        <w:tc>
          <w:tcPr>
            <w:tcW w:w="2413" w:type="dxa"/>
            <w:gridSpan w:val="2"/>
            <w:tcBorders>
              <w:top w:val="nil"/>
              <w:left w:val="single" w:sz="12" w:space="0" w:color="auto"/>
              <w:bottom w:val="single" w:sz="12" w:space="0" w:color="auto"/>
              <w:right w:val="single" w:sz="12" w:space="0" w:color="auto"/>
            </w:tcBorders>
            <w:shd w:val="clear" w:color="auto" w:fill="auto"/>
          </w:tcPr>
          <w:p w:rsidR="00E13C87" w:rsidRPr="00DE62F7" w:rsidRDefault="00E13C87" w:rsidP="00E13C87">
            <w:pPr>
              <w:rPr>
                <w:rFonts w:ascii="Arial" w:hAnsi="Arial" w:cs="Arial"/>
                <w:sz w:val="18"/>
                <w:szCs w:val="18"/>
              </w:rPr>
            </w:pPr>
            <w:r w:rsidRPr="00DE62F7">
              <w:rPr>
                <w:rFonts w:ascii="Arial" w:hAnsi="Arial" w:cs="Arial"/>
                <w:sz w:val="18"/>
                <w:szCs w:val="18"/>
              </w:rPr>
              <w:t>Infusion Dose Over One Hour Where 1mg = 1cc</w:t>
            </w:r>
          </w:p>
        </w:tc>
        <w:tc>
          <w:tcPr>
            <w:tcW w:w="2411" w:type="dxa"/>
            <w:gridSpan w:val="2"/>
            <w:tcBorders>
              <w:top w:val="nil"/>
              <w:left w:val="nil"/>
              <w:bottom w:val="single" w:sz="12" w:space="0" w:color="auto"/>
              <w:right w:val="single" w:sz="12" w:space="0" w:color="auto"/>
            </w:tcBorders>
            <w:shd w:val="clear" w:color="auto" w:fill="auto"/>
            <w:vAlign w:val="bottom"/>
          </w:tcPr>
          <w:p w:rsidR="00E13C87" w:rsidRPr="00DE62F7" w:rsidRDefault="00E13C87" w:rsidP="00E13C87">
            <w:pPr>
              <w:rPr>
                <w:rFonts w:ascii="Arial" w:hAnsi="Arial" w:cs="Arial"/>
                <w:sz w:val="18"/>
                <w:szCs w:val="18"/>
                <w:lang w:val="fr-FR"/>
              </w:rPr>
            </w:pPr>
            <w:r w:rsidRPr="00DE62F7">
              <w:rPr>
                <w:rFonts w:ascii="Arial" w:hAnsi="Arial" w:cs="Arial"/>
                <w:sz w:val="18"/>
                <w:szCs w:val="18"/>
                <w:lang w:val="fr-FR"/>
              </w:rPr>
              <w:t>Total t-PA dose: 0.9 mg/kg</w:t>
            </w:r>
          </w:p>
        </w:tc>
      </w:tr>
      <w:tr w:rsidR="00E13C87" w:rsidRPr="00DE62F7" w:rsidTr="00D77B45">
        <w:trPr>
          <w:trHeight w:val="270"/>
        </w:trPr>
        <w:tc>
          <w:tcPr>
            <w:tcW w:w="1820" w:type="dxa"/>
            <w:gridSpan w:val="3"/>
            <w:tcBorders>
              <w:top w:val="nil"/>
              <w:left w:val="single" w:sz="4" w:space="0" w:color="auto"/>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50</w:t>
            </w:r>
          </w:p>
        </w:tc>
        <w:tc>
          <w:tcPr>
            <w:tcW w:w="1416" w:type="dxa"/>
            <w:tcBorders>
              <w:top w:val="nil"/>
              <w:left w:val="nil"/>
              <w:bottom w:val="single" w:sz="4" w:space="0" w:color="auto"/>
              <w:right w:val="nil"/>
            </w:tcBorders>
            <w:shd w:val="clear" w:color="auto" w:fill="CC99FF"/>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110</w:t>
            </w:r>
          </w:p>
        </w:tc>
        <w:tc>
          <w:tcPr>
            <w:tcW w:w="1603" w:type="dxa"/>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40</w:t>
            </w:r>
          </w:p>
        </w:tc>
        <w:tc>
          <w:tcPr>
            <w:tcW w:w="2411"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45</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51</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112</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41</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46</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52</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115</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42</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47</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53</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117</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43</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48</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54</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119</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44</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49</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55</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121</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45</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50</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56</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123</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45</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50</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57</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126</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46</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51</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58</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128</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47</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52</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59</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130</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48</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53</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60</w:t>
            </w:r>
          </w:p>
        </w:tc>
        <w:tc>
          <w:tcPr>
            <w:tcW w:w="1416" w:type="dxa"/>
            <w:tcBorders>
              <w:top w:val="nil"/>
              <w:left w:val="nil"/>
              <w:bottom w:val="single" w:sz="4" w:space="0" w:color="auto"/>
              <w:right w:val="nil"/>
            </w:tcBorders>
            <w:shd w:val="clear" w:color="auto" w:fill="CC99FF"/>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132</w:t>
            </w:r>
          </w:p>
        </w:tc>
        <w:tc>
          <w:tcPr>
            <w:tcW w:w="1603" w:type="dxa"/>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w:t>
            </w:r>
          </w:p>
        </w:tc>
        <w:tc>
          <w:tcPr>
            <w:tcW w:w="2413"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49</w:t>
            </w:r>
          </w:p>
        </w:tc>
        <w:tc>
          <w:tcPr>
            <w:tcW w:w="2411"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54</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61</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134</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49</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55</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62</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137</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50</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56</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63</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139</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51</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57</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64</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141</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52</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58</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65</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143</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53</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59</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66</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146</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53</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59</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67</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148</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54</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60</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68</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150</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55</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61</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69</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152</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56</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62</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70</w:t>
            </w:r>
          </w:p>
        </w:tc>
        <w:tc>
          <w:tcPr>
            <w:tcW w:w="1416" w:type="dxa"/>
            <w:tcBorders>
              <w:top w:val="nil"/>
              <w:left w:val="nil"/>
              <w:bottom w:val="single" w:sz="4" w:space="0" w:color="auto"/>
              <w:right w:val="nil"/>
            </w:tcBorders>
            <w:shd w:val="clear" w:color="auto" w:fill="CC99FF"/>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154</w:t>
            </w:r>
          </w:p>
        </w:tc>
        <w:tc>
          <w:tcPr>
            <w:tcW w:w="1603" w:type="dxa"/>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57</w:t>
            </w:r>
          </w:p>
        </w:tc>
        <w:tc>
          <w:tcPr>
            <w:tcW w:w="2411"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63</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71</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157</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58</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64</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72</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159</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58</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65</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73</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161</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59</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66</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74</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163</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60</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67</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75</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165</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61</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68</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76</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168</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62</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68</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77</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170</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62</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69</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78</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172</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63</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70</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79</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174</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64</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71</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80</w:t>
            </w:r>
          </w:p>
        </w:tc>
        <w:tc>
          <w:tcPr>
            <w:tcW w:w="1416" w:type="dxa"/>
            <w:tcBorders>
              <w:top w:val="nil"/>
              <w:left w:val="nil"/>
              <w:bottom w:val="single" w:sz="4" w:space="0" w:color="auto"/>
              <w:right w:val="nil"/>
            </w:tcBorders>
            <w:shd w:val="clear" w:color="auto" w:fill="CC99FF"/>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176</w:t>
            </w:r>
          </w:p>
        </w:tc>
        <w:tc>
          <w:tcPr>
            <w:tcW w:w="1603" w:type="dxa"/>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65</w:t>
            </w:r>
          </w:p>
        </w:tc>
        <w:tc>
          <w:tcPr>
            <w:tcW w:w="2411"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72</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81</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179</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66</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73</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82</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181</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66</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74</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83</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183</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67</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75</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84</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185</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68</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76</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85</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187</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69</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77</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86</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190</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70</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77</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87</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192</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70</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78</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88</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194</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71</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79</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89</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196</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72</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80</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90</w:t>
            </w:r>
          </w:p>
        </w:tc>
        <w:tc>
          <w:tcPr>
            <w:tcW w:w="1416" w:type="dxa"/>
            <w:tcBorders>
              <w:top w:val="nil"/>
              <w:left w:val="nil"/>
              <w:bottom w:val="single" w:sz="4" w:space="0" w:color="auto"/>
              <w:right w:val="nil"/>
            </w:tcBorders>
            <w:shd w:val="clear" w:color="auto" w:fill="CC99FF"/>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198</w:t>
            </w:r>
          </w:p>
        </w:tc>
        <w:tc>
          <w:tcPr>
            <w:tcW w:w="1603" w:type="dxa"/>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73</w:t>
            </w:r>
          </w:p>
        </w:tc>
        <w:tc>
          <w:tcPr>
            <w:tcW w:w="2411"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81</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91</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201</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74</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82</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92</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203</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75</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83</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93</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205</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75</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84</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94</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207</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76</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85</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95</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209</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77</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86</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96</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212</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78</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86</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97</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214</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79</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87</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98</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216</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79</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88</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99</w:t>
            </w:r>
          </w:p>
        </w:tc>
        <w:tc>
          <w:tcPr>
            <w:tcW w:w="1416" w:type="dxa"/>
            <w:tcBorders>
              <w:top w:val="nil"/>
              <w:left w:val="nil"/>
              <w:bottom w:val="single" w:sz="4" w:space="0" w:color="auto"/>
              <w:right w:val="nil"/>
            </w:tcBorders>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218</w:t>
            </w:r>
          </w:p>
        </w:tc>
        <w:tc>
          <w:tcPr>
            <w:tcW w:w="1603" w:type="dxa"/>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w:t>
            </w:r>
          </w:p>
        </w:tc>
        <w:tc>
          <w:tcPr>
            <w:tcW w:w="2413" w:type="dxa"/>
            <w:gridSpan w:val="2"/>
            <w:tcBorders>
              <w:top w:val="nil"/>
              <w:left w:val="nil"/>
              <w:bottom w:val="single" w:sz="4" w:space="0" w:color="auto"/>
              <w:right w:val="single" w:sz="4" w:space="0" w:color="auto"/>
            </w:tcBorders>
            <w:shd w:val="clear" w:color="auto" w:fill="FFFF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80</w:t>
            </w:r>
          </w:p>
        </w:tc>
        <w:tc>
          <w:tcPr>
            <w:tcW w:w="2411" w:type="dxa"/>
            <w:gridSpan w:val="2"/>
            <w:tcBorders>
              <w:top w:val="nil"/>
              <w:left w:val="nil"/>
              <w:bottom w:val="single" w:sz="4" w:space="0" w:color="auto"/>
              <w:right w:val="single" w:sz="4" w:space="0" w:color="auto"/>
            </w:tcBorders>
            <w:shd w:val="clear" w:color="auto" w:fill="auto"/>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89</w:t>
            </w:r>
          </w:p>
        </w:tc>
      </w:tr>
      <w:tr w:rsidR="00E13C87" w:rsidRPr="00DE62F7" w:rsidTr="00D77B45">
        <w:trPr>
          <w:trHeight w:val="144"/>
        </w:trPr>
        <w:tc>
          <w:tcPr>
            <w:tcW w:w="1820" w:type="dxa"/>
            <w:gridSpan w:val="3"/>
            <w:tcBorders>
              <w:top w:val="nil"/>
              <w:left w:val="single" w:sz="4" w:space="0" w:color="auto"/>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100 +</w:t>
            </w:r>
          </w:p>
        </w:tc>
        <w:tc>
          <w:tcPr>
            <w:tcW w:w="1416" w:type="dxa"/>
            <w:tcBorders>
              <w:top w:val="nil"/>
              <w:left w:val="nil"/>
              <w:bottom w:val="single" w:sz="4" w:space="0" w:color="auto"/>
              <w:right w:val="nil"/>
            </w:tcBorders>
            <w:shd w:val="clear" w:color="auto" w:fill="CC99FF"/>
            <w:vAlign w:val="bottom"/>
          </w:tcPr>
          <w:p w:rsidR="00E13C87" w:rsidRPr="00E13C87" w:rsidRDefault="00E13C87">
            <w:pPr>
              <w:jc w:val="center"/>
              <w:rPr>
                <w:rFonts w:ascii="Arial" w:hAnsi="Arial" w:cs="Arial"/>
                <w:sz w:val="18"/>
                <w:szCs w:val="18"/>
              </w:rPr>
            </w:pPr>
            <w:r w:rsidRPr="00E13C87">
              <w:rPr>
                <w:rFonts w:ascii="Arial" w:hAnsi="Arial" w:cs="Arial"/>
                <w:sz w:val="18"/>
                <w:szCs w:val="18"/>
              </w:rPr>
              <w:t>220 +</w:t>
            </w:r>
          </w:p>
        </w:tc>
        <w:tc>
          <w:tcPr>
            <w:tcW w:w="1603" w:type="dxa"/>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w:t>
            </w:r>
          </w:p>
        </w:tc>
        <w:tc>
          <w:tcPr>
            <w:tcW w:w="2413"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81</w:t>
            </w:r>
          </w:p>
        </w:tc>
        <w:tc>
          <w:tcPr>
            <w:tcW w:w="2411" w:type="dxa"/>
            <w:gridSpan w:val="2"/>
            <w:tcBorders>
              <w:top w:val="nil"/>
              <w:left w:val="nil"/>
              <w:bottom w:val="single" w:sz="4" w:space="0" w:color="auto"/>
              <w:right w:val="single" w:sz="4" w:space="0" w:color="auto"/>
            </w:tcBorders>
            <w:shd w:val="clear" w:color="auto" w:fill="CC99FF"/>
            <w:noWrap/>
            <w:vAlign w:val="bottom"/>
          </w:tcPr>
          <w:p w:rsidR="00E13C87" w:rsidRPr="00DE62F7" w:rsidRDefault="00E13C87">
            <w:pPr>
              <w:jc w:val="center"/>
              <w:rPr>
                <w:rFonts w:ascii="Arial" w:hAnsi="Arial" w:cs="Arial"/>
                <w:sz w:val="18"/>
                <w:szCs w:val="18"/>
              </w:rPr>
            </w:pPr>
            <w:r w:rsidRPr="00DE62F7">
              <w:rPr>
                <w:rFonts w:ascii="Arial" w:hAnsi="Arial" w:cs="Arial"/>
                <w:sz w:val="18"/>
                <w:szCs w:val="18"/>
              </w:rPr>
              <w:t>90</w:t>
            </w:r>
          </w:p>
        </w:tc>
      </w:tr>
      <w:tr w:rsidR="00E13C87" w:rsidRPr="00DE62F7" w:rsidTr="00E13C87">
        <w:trPr>
          <w:trHeight w:val="255"/>
        </w:trPr>
        <w:tc>
          <w:tcPr>
            <w:tcW w:w="299" w:type="dxa"/>
            <w:tcBorders>
              <w:top w:val="nil"/>
              <w:left w:val="nil"/>
              <w:bottom w:val="nil"/>
              <w:right w:val="nil"/>
            </w:tcBorders>
          </w:tcPr>
          <w:p w:rsidR="00E13C87" w:rsidRPr="00DE62F7" w:rsidRDefault="00E13C87">
            <w:pPr>
              <w:rPr>
                <w:rFonts w:ascii="Arial" w:hAnsi="Arial" w:cs="Arial"/>
                <w:b/>
                <w:bCs/>
                <w:sz w:val="20"/>
                <w:szCs w:val="20"/>
              </w:rPr>
            </w:pPr>
          </w:p>
        </w:tc>
        <w:tc>
          <w:tcPr>
            <w:tcW w:w="9364" w:type="dxa"/>
            <w:gridSpan w:val="8"/>
            <w:tcBorders>
              <w:top w:val="nil"/>
              <w:left w:val="nil"/>
              <w:bottom w:val="nil"/>
              <w:right w:val="nil"/>
            </w:tcBorders>
            <w:shd w:val="clear" w:color="auto" w:fill="auto"/>
            <w:noWrap/>
            <w:vAlign w:val="bottom"/>
          </w:tcPr>
          <w:p w:rsidR="00E13C87" w:rsidRPr="00DE62F7" w:rsidRDefault="00E13C87">
            <w:pPr>
              <w:rPr>
                <w:rFonts w:ascii="Arial" w:hAnsi="Arial" w:cs="Arial"/>
                <w:b/>
                <w:bCs/>
                <w:sz w:val="20"/>
                <w:szCs w:val="20"/>
              </w:rPr>
            </w:pPr>
            <w:r w:rsidRPr="00DE62F7">
              <w:rPr>
                <w:rFonts w:ascii="Arial" w:hAnsi="Arial" w:cs="Arial"/>
                <w:b/>
                <w:bCs/>
                <w:sz w:val="20"/>
                <w:szCs w:val="20"/>
              </w:rPr>
              <w:t>Instructions:</w:t>
            </w:r>
            <w:r w:rsidRPr="00DE62F7">
              <w:rPr>
                <w:rFonts w:ascii="Arial" w:hAnsi="Arial" w:cs="Arial"/>
                <w:sz w:val="20"/>
                <w:szCs w:val="20"/>
              </w:rPr>
              <w:t xml:space="preserve">  Administer 10% bolus dose IV over one minute and the remainder as an IV infusion </w:t>
            </w:r>
          </w:p>
        </w:tc>
      </w:tr>
      <w:tr w:rsidR="00E13C87" w:rsidRPr="00DE62F7" w:rsidTr="00E13C87">
        <w:trPr>
          <w:trHeight w:val="255"/>
        </w:trPr>
        <w:tc>
          <w:tcPr>
            <w:tcW w:w="299" w:type="dxa"/>
            <w:tcBorders>
              <w:top w:val="nil"/>
              <w:left w:val="nil"/>
              <w:bottom w:val="nil"/>
              <w:right w:val="nil"/>
            </w:tcBorders>
          </w:tcPr>
          <w:p w:rsidR="00E13C87" w:rsidRPr="00DE62F7" w:rsidRDefault="00E13C87">
            <w:pPr>
              <w:rPr>
                <w:rFonts w:ascii="Arial" w:hAnsi="Arial" w:cs="Arial"/>
                <w:sz w:val="20"/>
                <w:szCs w:val="20"/>
              </w:rPr>
            </w:pPr>
          </w:p>
        </w:tc>
        <w:tc>
          <w:tcPr>
            <w:tcW w:w="5883" w:type="dxa"/>
            <w:gridSpan w:val="5"/>
            <w:tcBorders>
              <w:top w:val="nil"/>
              <w:left w:val="nil"/>
              <w:bottom w:val="nil"/>
              <w:right w:val="nil"/>
            </w:tcBorders>
            <w:shd w:val="clear" w:color="auto" w:fill="auto"/>
            <w:noWrap/>
            <w:vAlign w:val="bottom"/>
          </w:tcPr>
          <w:p w:rsidR="00E13C87" w:rsidRPr="00DE62F7" w:rsidRDefault="00E13C87">
            <w:pPr>
              <w:rPr>
                <w:rFonts w:ascii="Arial" w:hAnsi="Arial" w:cs="Arial"/>
                <w:sz w:val="20"/>
                <w:szCs w:val="20"/>
              </w:rPr>
            </w:pPr>
            <w:proofErr w:type="gramStart"/>
            <w:r w:rsidRPr="00DE62F7">
              <w:rPr>
                <w:rFonts w:ascii="Arial" w:hAnsi="Arial" w:cs="Arial"/>
                <w:sz w:val="20"/>
                <w:szCs w:val="20"/>
              </w:rPr>
              <w:t>over</w:t>
            </w:r>
            <w:proofErr w:type="gramEnd"/>
            <w:r w:rsidRPr="00DE62F7">
              <w:rPr>
                <w:rFonts w:ascii="Arial" w:hAnsi="Arial" w:cs="Arial"/>
                <w:sz w:val="20"/>
                <w:szCs w:val="20"/>
              </w:rPr>
              <w:t xml:space="preserve"> one hour.  The maximum dose is 90 mg.</w:t>
            </w:r>
          </w:p>
        </w:tc>
        <w:tc>
          <w:tcPr>
            <w:tcW w:w="1935" w:type="dxa"/>
            <w:gridSpan w:val="2"/>
            <w:tcBorders>
              <w:top w:val="nil"/>
              <w:left w:val="nil"/>
              <w:bottom w:val="nil"/>
              <w:right w:val="nil"/>
            </w:tcBorders>
            <w:shd w:val="clear" w:color="auto" w:fill="auto"/>
            <w:noWrap/>
            <w:vAlign w:val="bottom"/>
          </w:tcPr>
          <w:p w:rsidR="00E13C87" w:rsidRPr="00DE62F7" w:rsidRDefault="00E13C87">
            <w:pPr>
              <w:rPr>
                <w:rFonts w:ascii="Arial" w:hAnsi="Arial" w:cs="Arial"/>
                <w:sz w:val="20"/>
                <w:szCs w:val="20"/>
              </w:rPr>
            </w:pPr>
          </w:p>
        </w:tc>
        <w:tc>
          <w:tcPr>
            <w:tcW w:w="1546" w:type="dxa"/>
            <w:tcBorders>
              <w:top w:val="nil"/>
              <w:left w:val="nil"/>
              <w:bottom w:val="nil"/>
              <w:right w:val="nil"/>
            </w:tcBorders>
            <w:shd w:val="clear" w:color="auto" w:fill="auto"/>
            <w:noWrap/>
            <w:vAlign w:val="bottom"/>
          </w:tcPr>
          <w:p w:rsidR="00E13C87" w:rsidRPr="00DE62F7" w:rsidRDefault="00E13C87">
            <w:pPr>
              <w:rPr>
                <w:rFonts w:ascii="Arial" w:hAnsi="Arial" w:cs="Arial"/>
                <w:sz w:val="16"/>
                <w:szCs w:val="16"/>
              </w:rPr>
            </w:pPr>
          </w:p>
        </w:tc>
      </w:tr>
    </w:tbl>
    <w:p w:rsidR="00DE62F7" w:rsidRPr="00DE62F7" w:rsidRDefault="00DE62F7">
      <w:pPr>
        <w:pStyle w:val="Footer"/>
        <w:rPr>
          <w:sz w:val="16"/>
          <w:szCs w:val="16"/>
        </w:rPr>
      </w:pPr>
    </w:p>
    <w:sectPr w:rsidR="00DE62F7" w:rsidRPr="00DE62F7">
      <w:pgSz w:w="12240" w:h="15840" w:code="1"/>
      <w:pgMar w:top="1440" w:right="1440" w:bottom="108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45" w:rsidRDefault="00D77B45">
      <w:r>
        <w:separator/>
      </w:r>
    </w:p>
  </w:endnote>
  <w:endnote w:type="continuationSeparator" w:id="0">
    <w:p w:rsidR="00D77B45" w:rsidRDefault="00D7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27525"/>
      <w:docPartObj>
        <w:docPartGallery w:val="Page Numbers (Bottom of Page)"/>
        <w:docPartUnique/>
      </w:docPartObj>
    </w:sdtPr>
    <w:sdtEndPr>
      <w:rPr>
        <w:noProof/>
      </w:rPr>
    </w:sdtEndPr>
    <w:sdtContent>
      <w:p w:rsidR="00D77B45" w:rsidRDefault="00D77B45">
        <w:pPr>
          <w:pStyle w:val="Footer"/>
          <w:jc w:val="right"/>
        </w:pPr>
        <w:r>
          <w:fldChar w:fldCharType="begin"/>
        </w:r>
        <w:r>
          <w:instrText xml:space="preserve"> PAGE   \* MERGEFORMAT </w:instrText>
        </w:r>
        <w:r>
          <w:fldChar w:fldCharType="separate"/>
        </w:r>
        <w:r w:rsidR="00082C30">
          <w:rPr>
            <w:noProof/>
          </w:rPr>
          <w:t>2</w:t>
        </w:r>
        <w:r>
          <w:rPr>
            <w:noProof/>
          </w:rPr>
          <w:fldChar w:fldCharType="end"/>
        </w:r>
      </w:p>
    </w:sdtContent>
  </w:sdt>
  <w:p w:rsidR="00D77B45" w:rsidRDefault="00D77B45" w:rsidP="007117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45" w:rsidRDefault="00D77B45">
      <w:r>
        <w:separator/>
      </w:r>
    </w:p>
  </w:footnote>
  <w:footnote w:type="continuationSeparator" w:id="0">
    <w:p w:rsidR="00D77B45" w:rsidRDefault="00D77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45" w:rsidRDefault="00D77B45">
    <w:pPr>
      <w:pStyle w:val="Header"/>
    </w:pPr>
    <w:r>
      <w:rPr>
        <w:noProof/>
        <w:lang w:val="en-CA" w:eastAsia="en-CA"/>
      </w:rPr>
      <w:drawing>
        <wp:inline distT="0" distB="0" distL="0" distR="0" wp14:anchorId="4482E63C" wp14:editId="6CC77059">
          <wp:extent cx="17716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332"/>
    <w:multiLevelType w:val="singleLevel"/>
    <w:tmpl w:val="DDD4AE5A"/>
    <w:lvl w:ilvl="0">
      <w:start w:val="15"/>
      <w:numFmt w:val="bullet"/>
      <w:lvlText w:val="-"/>
      <w:lvlJc w:val="left"/>
      <w:pPr>
        <w:tabs>
          <w:tab w:val="num" w:pos="360"/>
        </w:tabs>
        <w:ind w:left="360" w:hanging="360"/>
      </w:pPr>
      <w:rPr>
        <w:rFonts w:hint="default"/>
      </w:rPr>
    </w:lvl>
  </w:abstractNum>
  <w:abstractNum w:abstractNumId="1">
    <w:nsid w:val="06CD1C6C"/>
    <w:multiLevelType w:val="singleLevel"/>
    <w:tmpl w:val="2D6AB1C0"/>
    <w:lvl w:ilvl="0">
      <w:start w:val="1"/>
      <w:numFmt w:val="decimal"/>
      <w:lvlText w:val="%1."/>
      <w:lvlJc w:val="left"/>
      <w:pPr>
        <w:tabs>
          <w:tab w:val="num" w:pos="720"/>
        </w:tabs>
        <w:ind w:left="720" w:hanging="720"/>
      </w:pPr>
      <w:rPr>
        <w:rFonts w:hint="default"/>
      </w:rPr>
    </w:lvl>
  </w:abstractNum>
  <w:abstractNum w:abstractNumId="2">
    <w:nsid w:val="0A260C54"/>
    <w:multiLevelType w:val="hybridMultilevel"/>
    <w:tmpl w:val="43AA32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137989"/>
    <w:multiLevelType w:val="singleLevel"/>
    <w:tmpl w:val="A06032BC"/>
    <w:lvl w:ilvl="0">
      <w:start w:val="2"/>
      <w:numFmt w:val="bullet"/>
      <w:lvlText w:val=""/>
      <w:lvlJc w:val="left"/>
      <w:pPr>
        <w:tabs>
          <w:tab w:val="num" w:pos="360"/>
        </w:tabs>
        <w:ind w:left="360" w:hanging="360"/>
      </w:pPr>
      <w:rPr>
        <w:rFonts w:ascii="Symbol" w:hAnsi="Symbol" w:hint="default"/>
        <w:sz w:val="24"/>
      </w:rPr>
    </w:lvl>
  </w:abstractNum>
  <w:abstractNum w:abstractNumId="4">
    <w:nsid w:val="16F57A95"/>
    <w:multiLevelType w:val="singleLevel"/>
    <w:tmpl w:val="DC64A8A0"/>
    <w:lvl w:ilvl="0">
      <w:start w:val="1"/>
      <w:numFmt w:val="decimal"/>
      <w:lvlText w:val="%1."/>
      <w:lvlJc w:val="left"/>
      <w:pPr>
        <w:tabs>
          <w:tab w:val="num" w:pos="720"/>
        </w:tabs>
        <w:ind w:left="720" w:hanging="720"/>
      </w:pPr>
      <w:rPr>
        <w:rFonts w:hint="default"/>
      </w:rPr>
    </w:lvl>
  </w:abstractNum>
  <w:abstractNum w:abstractNumId="5">
    <w:nsid w:val="17D7478B"/>
    <w:multiLevelType w:val="multilevel"/>
    <w:tmpl w:val="B7C0E1E8"/>
    <w:lvl w:ilvl="0">
      <w:start w:val="1"/>
      <w:numFmt w:val="decimal"/>
      <w:lvlText w:val="%1."/>
      <w:lvlJc w:val="left"/>
      <w:pPr>
        <w:ind w:left="742" w:hanging="360"/>
      </w:pPr>
      <w:rPr>
        <w:rFonts w:ascii="Times New Roman" w:eastAsia="Times New Roman" w:hAnsi="Times New Roman" w:cs="Times New Roman"/>
      </w:rPr>
    </w:lvl>
    <w:lvl w:ilvl="1">
      <w:start w:val="1"/>
      <w:numFmt w:val="lowerLetter"/>
      <w:lvlText w:val="%2."/>
      <w:lvlJc w:val="left"/>
      <w:pPr>
        <w:ind w:left="1174" w:hanging="432"/>
      </w:pPr>
    </w:lvl>
    <w:lvl w:ilvl="2">
      <w:start w:val="1"/>
      <w:numFmt w:val="decimal"/>
      <w:lvlText w:val="%1.%2.%3."/>
      <w:lvlJc w:val="left"/>
      <w:pPr>
        <w:ind w:left="1606" w:hanging="504"/>
      </w:pPr>
    </w:lvl>
    <w:lvl w:ilvl="3">
      <w:start w:val="1"/>
      <w:numFmt w:val="decimal"/>
      <w:lvlText w:val="%1.%2.%3.%4."/>
      <w:lvlJc w:val="left"/>
      <w:pPr>
        <w:ind w:left="2110" w:hanging="648"/>
      </w:pPr>
    </w:lvl>
    <w:lvl w:ilvl="4">
      <w:start w:val="1"/>
      <w:numFmt w:val="decimal"/>
      <w:lvlText w:val="%1.%2.%3.%4.%5."/>
      <w:lvlJc w:val="left"/>
      <w:pPr>
        <w:ind w:left="2614" w:hanging="792"/>
      </w:pPr>
    </w:lvl>
    <w:lvl w:ilvl="5">
      <w:start w:val="1"/>
      <w:numFmt w:val="decimal"/>
      <w:lvlText w:val="%1.%2.%3.%4.%5.%6."/>
      <w:lvlJc w:val="left"/>
      <w:pPr>
        <w:ind w:left="3118" w:hanging="936"/>
      </w:pPr>
    </w:lvl>
    <w:lvl w:ilvl="6">
      <w:start w:val="1"/>
      <w:numFmt w:val="decimal"/>
      <w:lvlText w:val="%1.%2.%3.%4.%5.%6.%7."/>
      <w:lvlJc w:val="left"/>
      <w:pPr>
        <w:ind w:left="3622" w:hanging="1080"/>
      </w:pPr>
    </w:lvl>
    <w:lvl w:ilvl="7">
      <w:start w:val="1"/>
      <w:numFmt w:val="decimal"/>
      <w:lvlText w:val="%1.%2.%3.%4.%5.%6.%7.%8."/>
      <w:lvlJc w:val="left"/>
      <w:pPr>
        <w:ind w:left="4126" w:hanging="1224"/>
      </w:pPr>
    </w:lvl>
    <w:lvl w:ilvl="8">
      <w:start w:val="1"/>
      <w:numFmt w:val="decimal"/>
      <w:lvlText w:val="%1.%2.%3.%4.%5.%6.%7.%8.%9."/>
      <w:lvlJc w:val="left"/>
      <w:pPr>
        <w:ind w:left="4702" w:hanging="1440"/>
      </w:pPr>
    </w:lvl>
  </w:abstractNum>
  <w:abstractNum w:abstractNumId="6">
    <w:nsid w:val="1A22339E"/>
    <w:multiLevelType w:val="hybridMultilevel"/>
    <w:tmpl w:val="98627B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D184DE2"/>
    <w:multiLevelType w:val="hybridMultilevel"/>
    <w:tmpl w:val="5414F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6D1E68"/>
    <w:multiLevelType w:val="hybridMultilevel"/>
    <w:tmpl w:val="6FB04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342CFE"/>
    <w:multiLevelType w:val="hybridMultilevel"/>
    <w:tmpl w:val="836EB73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5D70C8"/>
    <w:multiLevelType w:val="hybridMultilevel"/>
    <w:tmpl w:val="E30CBF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A8076B"/>
    <w:multiLevelType w:val="singleLevel"/>
    <w:tmpl w:val="DDD4AE5A"/>
    <w:lvl w:ilvl="0">
      <w:start w:val="15"/>
      <w:numFmt w:val="bullet"/>
      <w:lvlText w:val="-"/>
      <w:lvlJc w:val="left"/>
      <w:pPr>
        <w:tabs>
          <w:tab w:val="num" w:pos="360"/>
        </w:tabs>
        <w:ind w:left="360" w:hanging="360"/>
      </w:pPr>
      <w:rPr>
        <w:rFonts w:hint="default"/>
      </w:rPr>
    </w:lvl>
  </w:abstractNum>
  <w:abstractNum w:abstractNumId="12">
    <w:nsid w:val="3EC53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C96DD7"/>
    <w:multiLevelType w:val="hybridMultilevel"/>
    <w:tmpl w:val="1FB26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0C0CC1"/>
    <w:multiLevelType w:val="hybridMultilevel"/>
    <w:tmpl w:val="0396014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8E7F37"/>
    <w:multiLevelType w:val="hybridMultilevel"/>
    <w:tmpl w:val="85B26F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C78592E"/>
    <w:multiLevelType w:val="singleLevel"/>
    <w:tmpl w:val="FFFFFFFF"/>
    <w:lvl w:ilvl="0">
      <w:start w:val="1"/>
      <w:numFmt w:val="bullet"/>
      <w:lvlText w:val="-"/>
      <w:legacy w:legacy="1" w:legacySpace="0" w:legacyIndent="720"/>
      <w:lvlJc w:val="left"/>
      <w:pPr>
        <w:ind w:left="1080" w:hanging="720"/>
      </w:pPr>
    </w:lvl>
  </w:abstractNum>
  <w:abstractNum w:abstractNumId="17">
    <w:nsid w:val="4EA4343F"/>
    <w:multiLevelType w:val="singleLevel"/>
    <w:tmpl w:val="0409000F"/>
    <w:lvl w:ilvl="0">
      <w:start w:val="1"/>
      <w:numFmt w:val="decimal"/>
      <w:lvlText w:val="%1."/>
      <w:lvlJc w:val="left"/>
      <w:pPr>
        <w:tabs>
          <w:tab w:val="num" w:pos="360"/>
        </w:tabs>
        <w:ind w:left="360" w:hanging="360"/>
      </w:pPr>
    </w:lvl>
  </w:abstractNum>
  <w:abstractNum w:abstractNumId="18">
    <w:nsid w:val="52F96E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FF5559"/>
    <w:multiLevelType w:val="hybridMultilevel"/>
    <w:tmpl w:val="6400E0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53814E14"/>
    <w:multiLevelType w:val="hybridMultilevel"/>
    <w:tmpl w:val="1E109C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5D21487"/>
    <w:multiLevelType w:val="hybridMultilevel"/>
    <w:tmpl w:val="1D9C56A4"/>
    <w:lvl w:ilvl="0" w:tplc="1009000F">
      <w:start w:val="1"/>
      <w:numFmt w:val="decimal"/>
      <w:lvlText w:val="%1."/>
      <w:lvlJc w:val="left"/>
      <w:pPr>
        <w:ind w:left="363" w:hanging="360"/>
      </w:pPr>
      <w:rPr>
        <w:rFonts w:hint="default"/>
      </w:rPr>
    </w:lvl>
    <w:lvl w:ilvl="1" w:tplc="10090019" w:tentative="1">
      <w:start w:val="1"/>
      <w:numFmt w:val="lowerLetter"/>
      <w:lvlText w:val="%2."/>
      <w:lvlJc w:val="left"/>
      <w:pPr>
        <w:ind w:left="1083" w:hanging="360"/>
      </w:pPr>
    </w:lvl>
    <w:lvl w:ilvl="2" w:tplc="1009001B" w:tentative="1">
      <w:start w:val="1"/>
      <w:numFmt w:val="lowerRoman"/>
      <w:lvlText w:val="%3."/>
      <w:lvlJc w:val="right"/>
      <w:pPr>
        <w:ind w:left="1803" w:hanging="180"/>
      </w:pPr>
    </w:lvl>
    <w:lvl w:ilvl="3" w:tplc="1009000F" w:tentative="1">
      <w:start w:val="1"/>
      <w:numFmt w:val="decimal"/>
      <w:lvlText w:val="%4."/>
      <w:lvlJc w:val="left"/>
      <w:pPr>
        <w:ind w:left="2523" w:hanging="360"/>
      </w:pPr>
    </w:lvl>
    <w:lvl w:ilvl="4" w:tplc="10090019" w:tentative="1">
      <w:start w:val="1"/>
      <w:numFmt w:val="lowerLetter"/>
      <w:lvlText w:val="%5."/>
      <w:lvlJc w:val="left"/>
      <w:pPr>
        <w:ind w:left="3243" w:hanging="360"/>
      </w:pPr>
    </w:lvl>
    <w:lvl w:ilvl="5" w:tplc="1009001B" w:tentative="1">
      <w:start w:val="1"/>
      <w:numFmt w:val="lowerRoman"/>
      <w:lvlText w:val="%6."/>
      <w:lvlJc w:val="right"/>
      <w:pPr>
        <w:ind w:left="3963" w:hanging="180"/>
      </w:pPr>
    </w:lvl>
    <w:lvl w:ilvl="6" w:tplc="1009000F" w:tentative="1">
      <w:start w:val="1"/>
      <w:numFmt w:val="decimal"/>
      <w:lvlText w:val="%7."/>
      <w:lvlJc w:val="left"/>
      <w:pPr>
        <w:ind w:left="4683" w:hanging="360"/>
      </w:pPr>
    </w:lvl>
    <w:lvl w:ilvl="7" w:tplc="10090019" w:tentative="1">
      <w:start w:val="1"/>
      <w:numFmt w:val="lowerLetter"/>
      <w:lvlText w:val="%8."/>
      <w:lvlJc w:val="left"/>
      <w:pPr>
        <w:ind w:left="5403" w:hanging="360"/>
      </w:pPr>
    </w:lvl>
    <w:lvl w:ilvl="8" w:tplc="1009001B" w:tentative="1">
      <w:start w:val="1"/>
      <w:numFmt w:val="lowerRoman"/>
      <w:lvlText w:val="%9."/>
      <w:lvlJc w:val="right"/>
      <w:pPr>
        <w:ind w:left="6123" w:hanging="180"/>
      </w:pPr>
    </w:lvl>
  </w:abstractNum>
  <w:abstractNum w:abstractNumId="22">
    <w:nsid w:val="589A4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B34195B"/>
    <w:multiLevelType w:val="hybridMultilevel"/>
    <w:tmpl w:val="DA3490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5BCF6C72"/>
    <w:multiLevelType w:val="hybridMultilevel"/>
    <w:tmpl w:val="000C2E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4AE3642"/>
    <w:multiLevelType w:val="singleLevel"/>
    <w:tmpl w:val="FFFFFFFF"/>
    <w:lvl w:ilvl="0">
      <w:start w:val="1"/>
      <w:numFmt w:val="bullet"/>
      <w:lvlText w:val="-"/>
      <w:legacy w:legacy="1" w:legacySpace="0" w:legacyIndent="720"/>
      <w:lvlJc w:val="left"/>
      <w:pPr>
        <w:ind w:left="1080" w:hanging="720"/>
      </w:pPr>
    </w:lvl>
  </w:abstractNum>
  <w:abstractNum w:abstractNumId="26">
    <w:nsid w:val="66D67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F1A76EB"/>
    <w:multiLevelType w:val="hybridMultilevel"/>
    <w:tmpl w:val="09C08C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30E298D"/>
    <w:multiLevelType w:val="hybridMultilevel"/>
    <w:tmpl w:val="44A0F9F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4C4447B"/>
    <w:multiLevelType w:val="singleLevel"/>
    <w:tmpl w:val="DB8C0BAC"/>
    <w:lvl w:ilvl="0">
      <w:start w:val="1"/>
      <w:numFmt w:val="decimal"/>
      <w:lvlText w:val="%1."/>
      <w:legacy w:legacy="1" w:legacySpace="0" w:legacyIndent="360"/>
      <w:lvlJc w:val="left"/>
      <w:pPr>
        <w:ind w:left="360" w:hanging="360"/>
      </w:pPr>
    </w:lvl>
  </w:abstractNum>
  <w:abstractNum w:abstractNumId="30">
    <w:nsid w:val="76167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84A02C5"/>
    <w:multiLevelType w:val="hybridMultilevel"/>
    <w:tmpl w:val="FCCE28D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8AE7C7B"/>
    <w:multiLevelType w:val="hybridMultilevel"/>
    <w:tmpl w:val="838E76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98A632F"/>
    <w:multiLevelType w:val="hybridMultilevel"/>
    <w:tmpl w:val="B14AF4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17"/>
  </w:num>
  <w:num w:numId="4">
    <w:abstractNumId w:val="15"/>
  </w:num>
  <w:num w:numId="5">
    <w:abstractNumId w:val="33"/>
  </w:num>
  <w:num w:numId="6">
    <w:abstractNumId w:val="11"/>
  </w:num>
  <w:num w:numId="7">
    <w:abstractNumId w:val="0"/>
  </w:num>
  <w:num w:numId="8">
    <w:abstractNumId w:val="3"/>
  </w:num>
  <w:num w:numId="9">
    <w:abstractNumId w:val="29"/>
  </w:num>
  <w:num w:numId="10">
    <w:abstractNumId w:val="25"/>
  </w:num>
  <w:num w:numId="11">
    <w:abstractNumId w:val="16"/>
  </w:num>
  <w:num w:numId="12">
    <w:abstractNumId w:val="30"/>
  </w:num>
  <w:num w:numId="13">
    <w:abstractNumId w:val="22"/>
  </w:num>
  <w:num w:numId="14">
    <w:abstractNumId w:val="18"/>
  </w:num>
  <w:num w:numId="15">
    <w:abstractNumId w:val="12"/>
  </w:num>
  <w:num w:numId="16">
    <w:abstractNumId w:val="26"/>
  </w:num>
  <w:num w:numId="17">
    <w:abstractNumId w:val="2"/>
  </w:num>
  <w:num w:numId="18">
    <w:abstractNumId w:val="14"/>
  </w:num>
  <w:num w:numId="19">
    <w:abstractNumId w:val="31"/>
  </w:num>
  <w:num w:numId="20">
    <w:abstractNumId w:val="10"/>
  </w:num>
  <w:num w:numId="21">
    <w:abstractNumId w:val="9"/>
  </w:num>
  <w:num w:numId="22">
    <w:abstractNumId w:val="20"/>
  </w:num>
  <w:num w:numId="23">
    <w:abstractNumId w:val="8"/>
  </w:num>
  <w:num w:numId="24">
    <w:abstractNumId w:val="13"/>
  </w:num>
  <w:num w:numId="25">
    <w:abstractNumId w:val="21"/>
  </w:num>
  <w:num w:numId="26">
    <w:abstractNumId w:val="27"/>
  </w:num>
  <w:num w:numId="27">
    <w:abstractNumId w:val="32"/>
  </w:num>
  <w:num w:numId="28">
    <w:abstractNumId w:val="23"/>
  </w:num>
  <w:num w:numId="29">
    <w:abstractNumId w:val="19"/>
  </w:num>
  <w:num w:numId="30">
    <w:abstractNumId w:val="24"/>
  </w:num>
  <w:num w:numId="31">
    <w:abstractNumId w:val="5"/>
  </w:num>
  <w:num w:numId="32">
    <w:abstractNumId w:val="28"/>
  </w:num>
  <w:num w:numId="33">
    <w:abstractNumId w:val="6"/>
  </w:num>
  <w:num w:numId="34">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FA"/>
    <w:rsid w:val="00021400"/>
    <w:rsid w:val="000277CF"/>
    <w:rsid w:val="0003589F"/>
    <w:rsid w:val="000569FF"/>
    <w:rsid w:val="000751AE"/>
    <w:rsid w:val="000772AB"/>
    <w:rsid w:val="00082C30"/>
    <w:rsid w:val="000E0A53"/>
    <w:rsid w:val="000E357A"/>
    <w:rsid w:val="000E441C"/>
    <w:rsid w:val="00113B26"/>
    <w:rsid w:val="00117ECD"/>
    <w:rsid w:val="001218D2"/>
    <w:rsid w:val="001306E7"/>
    <w:rsid w:val="001314CF"/>
    <w:rsid w:val="00135693"/>
    <w:rsid w:val="00151AC5"/>
    <w:rsid w:val="001764F3"/>
    <w:rsid w:val="00185F21"/>
    <w:rsid w:val="0019547F"/>
    <w:rsid w:val="00195DA8"/>
    <w:rsid w:val="001A5D09"/>
    <w:rsid w:val="001C1E52"/>
    <w:rsid w:val="001E10F9"/>
    <w:rsid w:val="002021E8"/>
    <w:rsid w:val="00211990"/>
    <w:rsid w:val="002153DB"/>
    <w:rsid w:val="002401F2"/>
    <w:rsid w:val="0024291D"/>
    <w:rsid w:val="00260EC0"/>
    <w:rsid w:val="002842CB"/>
    <w:rsid w:val="0028777A"/>
    <w:rsid w:val="002971D9"/>
    <w:rsid w:val="002B0B0F"/>
    <w:rsid w:val="002B5FEE"/>
    <w:rsid w:val="002C5273"/>
    <w:rsid w:val="002C6BC5"/>
    <w:rsid w:val="002D469A"/>
    <w:rsid w:val="002F227E"/>
    <w:rsid w:val="002F38E9"/>
    <w:rsid w:val="002F625E"/>
    <w:rsid w:val="00320627"/>
    <w:rsid w:val="0034761F"/>
    <w:rsid w:val="00353E51"/>
    <w:rsid w:val="003658D9"/>
    <w:rsid w:val="00376B9A"/>
    <w:rsid w:val="00384A8D"/>
    <w:rsid w:val="00387DA7"/>
    <w:rsid w:val="003B3F23"/>
    <w:rsid w:val="003D19D7"/>
    <w:rsid w:val="003E0ED2"/>
    <w:rsid w:val="003F11CF"/>
    <w:rsid w:val="004018A2"/>
    <w:rsid w:val="00426FB1"/>
    <w:rsid w:val="004273C5"/>
    <w:rsid w:val="00430D34"/>
    <w:rsid w:val="004434C3"/>
    <w:rsid w:val="004439DD"/>
    <w:rsid w:val="00467B0C"/>
    <w:rsid w:val="0048440B"/>
    <w:rsid w:val="00486F21"/>
    <w:rsid w:val="004916E9"/>
    <w:rsid w:val="00492011"/>
    <w:rsid w:val="00497004"/>
    <w:rsid w:val="005208E9"/>
    <w:rsid w:val="005411DC"/>
    <w:rsid w:val="00541818"/>
    <w:rsid w:val="00546C86"/>
    <w:rsid w:val="005552E4"/>
    <w:rsid w:val="005655CE"/>
    <w:rsid w:val="00571546"/>
    <w:rsid w:val="00586D52"/>
    <w:rsid w:val="00597F31"/>
    <w:rsid w:val="005A76C8"/>
    <w:rsid w:val="005B0421"/>
    <w:rsid w:val="005B4E4D"/>
    <w:rsid w:val="005D542B"/>
    <w:rsid w:val="005E0DA8"/>
    <w:rsid w:val="005E384D"/>
    <w:rsid w:val="005E6280"/>
    <w:rsid w:val="005F1C08"/>
    <w:rsid w:val="006129C2"/>
    <w:rsid w:val="006206E3"/>
    <w:rsid w:val="00627958"/>
    <w:rsid w:val="0063587C"/>
    <w:rsid w:val="0066067D"/>
    <w:rsid w:val="006855BE"/>
    <w:rsid w:val="00695293"/>
    <w:rsid w:val="006A1FF6"/>
    <w:rsid w:val="006B6DAA"/>
    <w:rsid w:val="006C10DD"/>
    <w:rsid w:val="006E14C6"/>
    <w:rsid w:val="007117DA"/>
    <w:rsid w:val="00715ED3"/>
    <w:rsid w:val="00736B1A"/>
    <w:rsid w:val="00736C2A"/>
    <w:rsid w:val="007500CB"/>
    <w:rsid w:val="007744B8"/>
    <w:rsid w:val="00790B52"/>
    <w:rsid w:val="007A5BFA"/>
    <w:rsid w:val="007C3030"/>
    <w:rsid w:val="007E2511"/>
    <w:rsid w:val="00876CE1"/>
    <w:rsid w:val="00886EED"/>
    <w:rsid w:val="008B1511"/>
    <w:rsid w:val="008C7046"/>
    <w:rsid w:val="008D233A"/>
    <w:rsid w:val="008D26DC"/>
    <w:rsid w:val="009270BC"/>
    <w:rsid w:val="00931D1C"/>
    <w:rsid w:val="00937FAF"/>
    <w:rsid w:val="00947D3C"/>
    <w:rsid w:val="009501A5"/>
    <w:rsid w:val="009545F9"/>
    <w:rsid w:val="009614C3"/>
    <w:rsid w:val="009615E3"/>
    <w:rsid w:val="00990EC4"/>
    <w:rsid w:val="00992E33"/>
    <w:rsid w:val="009932E8"/>
    <w:rsid w:val="009E2CB7"/>
    <w:rsid w:val="009F5AC1"/>
    <w:rsid w:val="00A25430"/>
    <w:rsid w:val="00A41D50"/>
    <w:rsid w:val="00A555D5"/>
    <w:rsid w:val="00A65CE5"/>
    <w:rsid w:val="00A66C8F"/>
    <w:rsid w:val="00A9023F"/>
    <w:rsid w:val="00AA7ACF"/>
    <w:rsid w:val="00AC7F3F"/>
    <w:rsid w:val="00AD150F"/>
    <w:rsid w:val="00AD227E"/>
    <w:rsid w:val="00AD6B0C"/>
    <w:rsid w:val="00AE30CF"/>
    <w:rsid w:val="00AF32FD"/>
    <w:rsid w:val="00B0221B"/>
    <w:rsid w:val="00B04BB2"/>
    <w:rsid w:val="00B12F2E"/>
    <w:rsid w:val="00B130CB"/>
    <w:rsid w:val="00B4002E"/>
    <w:rsid w:val="00B528B5"/>
    <w:rsid w:val="00B76335"/>
    <w:rsid w:val="00B80208"/>
    <w:rsid w:val="00B844FA"/>
    <w:rsid w:val="00B97823"/>
    <w:rsid w:val="00BA5E4E"/>
    <w:rsid w:val="00BA7A56"/>
    <w:rsid w:val="00BE7B41"/>
    <w:rsid w:val="00BF0933"/>
    <w:rsid w:val="00BF4583"/>
    <w:rsid w:val="00BF6C0A"/>
    <w:rsid w:val="00C416C8"/>
    <w:rsid w:val="00C65843"/>
    <w:rsid w:val="00CA0096"/>
    <w:rsid w:val="00CA2F69"/>
    <w:rsid w:val="00CC03AC"/>
    <w:rsid w:val="00CC7130"/>
    <w:rsid w:val="00CD37E3"/>
    <w:rsid w:val="00CE2FB4"/>
    <w:rsid w:val="00CF529E"/>
    <w:rsid w:val="00D12268"/>
    <w:rsid w:val="00D22307"/>
    <w:rsid w:val="00D26096"/>
    <w:rsid w:val="00D30B44"/>
    <w:rsid w:val="00D77B45"/>
    <w:rsid w:val="00D81B49"/>
    <w:rsid w:val="00D840BB"/>
    <w:rsid w:val="00D873C0"/>
    <w:rsid w:val="00D87B13"/>
    <w:rsid w:val="00D9197B"/>
    <w:rsid w:val="00D977A4"/>
    <w:rsid w:val="00DA160C"/>
    <w:rsid w:val="00DA23CA"/>
    <w:rsid w:val="00DA763A"/>
    <w:rsid w:val="00DB0458"/>
    <w:rsid w:val="00DE04D7"/>
    <w:rsid w:val="00DE4D4B"/>
    <w:rsid w:val="00DE62F7"/>
    <w:rsid w:val="00E059C6"/>
    <w:rsid w:val="00E11F2A"/>
    <w:rsid w:val="00E13C87"/>
    <w:rsid w:val="00E20551"/>
    <w:rsid w:val="00E255AB"/>
    <w:rsid w:val="00E2715F"/>
    <w:rsid w:val="00E2773F"/>
    <w:rsid w:val="00E445E6"/>
    <w:rsid w:val="00E52FA1"/>
    <w:rsid w:val="00E5618E"/>
    <w:rsid w:val="00E56444"/>
    <w:rsid w:val="00E622AB"/>
    <w:rsid w:val="00E7396C"/>
    <w:rsid w:val="00E77CEC"/>
    <w:rsid w:val="00E849A1"/>
    <w:rsid w:val="00E906F6"/>
    <w:rsid w:val="00E958FD"/>
    <w:rsid w:val="00EB58EC"/>
    <w:rsid w:val="00EE0C66"/>
    <w:rsid w:val="00EE4B46"/>
    <w:rsid w:val="00EF34F8"/>
    <w:rsid w:val="00F05238"/>
    <w:rsid w:val="00F24396"/>
    <w:rsid w:val="00F32CFB"/>
    <w:rsid w:val="00F5218C"/>
    <w:rsid w:val="00F6679E"/>
    <w:rsid w:val="00F76FC8"/>
    <w:rsid w:val="00F8797A"/>
    <w:rsid w:val="00F941B9"/>
    <w:rsid w:val="00F95C14"/>
    <w:rsid w:val="00FB6ED0"/>
    <w:rsid w:val="00FC6EB5"/>
    <w:rsid w:val="00FD6CB6"/>
    <w:rsid w:val="00FF55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uppressAutoHyphens/>
      <w:outlineLvl w:val="0"/>
    </w:pPr>
    <w:rPr>
      <w:b/>
      <w:bCs/>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outlineLvl w:val="7"/>
    </w:pPr>
    <w:rPr>
      <w:b/>
      <w:i/>
      <w:i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i/>
      <w:iCs/>
    </w:rPr>
  </w:style>
  <w:style w:type="paragraph" w:styleId="BodyTextIndent">
    <w:name w:val="Body Text Indent"/>
    <w:basedOn w:val="Normal"/>
    <w:pPr>
      <w:spacing w:after="120"/>
      <w:ind w:left="283"/>
    </w:pPr>
  </w:style>
  <w:style w:type="paragraph" w:styleId="BodyText2">
    <w:name w:val="Body Text 2"/>
    <w:basedOn w:val="Normal"/>
    <w:rPr>
      <w:rFonts w:ascii="Times New (W1)" w:hAnsi="Times New (W1)"/>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cs="Arial"/>
      <w:sz w:val="18"/>
    </w:rPr>
  </w:style>
  <w:style w:type="paragraph" w:styleId="BalloonText">
    <w:name w:val="Balloon Text"/>
    <w:basedOn w:val="Normal"/>
    <w:semiHidden/>
    <w:rsid w:val="00B844FA"/>
    <w:rPr>
      <w:rFonts w:ascii="Tahoma" w:hAnsi="Tahoma" w:cs="Tahoma"/>
      <w:sz w:val="16"/>
      <w:szCs w:val="16"/>
    </w:rPr>
  </w:style>
  <w:style w:type="character" w:styleId="CommentReference">
    <w:name w:val="annotation reference"/>
    <w:semiHidden/>
    <w:rsid w:val="00CA0096"/>
    <w:rPr>
      <w:sz w:val="16"/>
      <w:szCs w:val="16"/>
    </w:rPr>
  </w:style>
  <w:style w:type="paragraph" w:styleId="CommentText">
    <w:name w:val="annotation text"/>
    <w:basedOn w:val="Normal"/>
    <w:semiHidden/>
    <w:rsid w:val="00CA0096"/>
    <w:rPr>
      <w:sz w:val="20"/>
      <w:szCs w:val="20"/>
    </w:rPr>
  </w:style>
  <w:style w:type="paragraph" w:styleId="CommentSubject">
    <w:name w:val="annotation subject"/>
    <w:basedOn w:val="CommentText"/>
    <w:next w:val="CommentText"/>
    <w:semiHidden/>
    <w:rsid w:val="00CA0096"/>
    <w:rPr>
      <w:b/>
      <w:bCs/>
    </w:rPr>
  </w:style>
  <w:style w:type="table" w:styleId="TableGrid">
    <w:name w:val="Table Grid"/>
    <w:basedOn w:val="TableNormal"/>
    <w:rsid w:val="00A5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2F69"/>
    <w:rPr>
      <w:sz w:val="24"/>
      <w:szCs w:val="24"/>
      <w:lang w:val="en-US" w:eastAsia="en-US"/>
    </w:rPr>
  </w:style>
  <w:style w:type="paragraph" w:styleId="ListParagraph">
    <w:name w:val="List Paragraph"/>
    <w:basedOn w:val="Normal"/>
    <w:uiPriority w:val="34"/>
    <w:qFormat/>
    <w:rsid w:val="00660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uppressAutoHyphens/>
      <w:outlineLvl w:val="0"/>
    </w:pPr>
    <w:rPr>
      <w:b/>
      <w:bCs/>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8">
    <w:name w:val="heading 8"/>
    <w:basedOn w:val="Normal"/>
    <w:next w:val="Normal"/>
    <w:qFormat/>
    <w:pPr>
      <w:keepNext/>
      <w:outlineLvl w:val="7"/>
    </w:pPr>
    <w:rPr>
      <w:b/>
      <w:i/>
      <w:i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b/>
      <w:bCs/>
      <w:i/>
      <w:iCs/>
    </w:rPr>
  </w:style>
  <w:style w:type="paragraph" w:styleId="BodyTextIndent">
    <w:name w:val="Body Text Indent"/>
    <w:basedOn w:val="Normal"/>
    <w:pPr>
      <w:spacing w:after="120"/>
      <w:ind w:left="283"/>
    </w:pPr>
  </w:style>
  <w:style w:type="paragraph" w:styleId="BodyText2">
    <w:name w:val="Body Text 2"/>
    <w:basedOn w:val="Normal"/>
    <w:rPr>
      <w:rFonts w:ascii="Times New (W1)" w:hAnsi="Times New (W1)"/>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cs="Arial"/>
      <w:sz w:val="18"/>
    </w:rPr>
  </w:style>
  <w:style w:type="paragraph" w:styleId="BalloonText">
    <w:name w:val="Balloon Text"/>
    <w:basedOn w:val="Normal"/>
    <w:semiHidden/>
    <w:rsid w:val="00B844FA"/>
    <w:rPr>
      <w:rFonts w:ascii="Tahoma" w:hAnsi="Tahoma" w:cs="Tahoma"/>
      <w:sz w:val="16"/>
      <w:szCs w:val="16"/>
    </w:rPr>
  </w:style>
  <w:style w:type="character" w:styleId="CommentReference">
    <w:name w:val="annotation reference"/>
    <w:semiHidden/>
    <w:rsid w:val="00CA0096"/>
    <w:rPr>
      <w:sz w:val="16"/>
      <w:szCs w:val="16"/>
    </w:rPr>
  </w:style>
  <w:style w:type="paragraph" w:styleId="CommentText">
    <w:name w:val="annotation text"/>
    <w:basedOn w:val="Normal"/>
    <w:semiHidden/>
    <w:rsid w:val="00CA0096"/>
    <w:rPr>
      <w:sz w:val="20"/>
      <w:szCs w:val="20"/>
    </w:rPr>
  </w:style>
  <w:style w:type="paragraph" w:styleId="CommentSubject">
    <w:name w:val="annotation subject"/>
    <w:basedOn w:val="CommentText"/>
    <w:next w:val="CommentText"/>
    <w:semiHidden/>
    <w:rsid w:val="00CA0096"/>
    <w:rPr>
      <w:b/>
      <w:bCs/>
    </w:rPr>
  </w:style>
  <w:style w:type="table" w:styleId="TableGrid">
    <w:name w:val="Table Grid"/>
    <w:basedOn w:val="TableNormal"/>
    <w:rsid w:val="00A5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2F69"/>
    <w:rPr>
      <w:sz w:val="24"/>
      <w:szCs w:val="24"/>
      <w:lang w:val="en-US" w:eastAsia="en-US"/>
    </w:rPr>
  </w:style>
  <w:style w:type="paragraph" w:styleId="ListParagraph">
    <w:name w:val="List Paragraph"/>
    <w:basedOn w:val="Normal"/>
    <w:uiPriority w:val="34"/>
    <w:qFormat/>
    <w:rsid w:val="0066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4981">
      <w:bodyDiv w:val="1"/>
      <w:marLeft w:val="0"/>
      <w:marRight w:val="0"/>
      <w:marTop w:val="0"/>
      <w:marBottom w:val="0"/>
      <w:divBdr>
        <w:top w:val="none" w:sz="0" w:space="0" w:color="auto"/>
        <w:left w:val="none" w:sz="0" w:space="0" w:color="auto"/>
        <w:bottom w:val="none" w:sz="0" w:space="0" w:color="auto"/>
        <w:right w:val="none" w:sz="0" w:space="0" w:color="auto"/>
      </w:divBdr>
    </w:div>
    <w:div w:id="1240366820">
      <w:bodyDiv w:val="1"/>
      <w:marLeft w:val="0"/>
      <w:marRight w:val="0"/>
      <w:marTop w:val="0"/>
      <w:marBottom w:val="0"/>
      <w:divBdr>
        <w:top w:val="none" w:sz="0" w:space="0" w:color="auto"/>
        <w:left w:val="none" w:sz="0" w:space="0" w:color="auto"/>
        <w:bottom w:val="none" w:sz="0" w:space="0" w:color="auto"/>
        <w:right w:val="none" w:sz="0" w:space="0" w:color="auto"/>
      </w:divBdr>
    </w:div>
    <w:div w:id="20035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79070-60AC-41E3-B359-7566637B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Guidelines for the use of intravenous IV rt-PA in the treatment of acute ischemic stroke at Kingston General Hospital</vt:lpstr>
    </vt:vector>
  </TitlesOfParts>
  <Company>KGH</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use of intravenous IV rt-PA in the treatment of acute ischemic stroke at Kingston General Hospital</dc:title>
  <dc:creator>Frank</dc:creator>
  <cp:lastModifiedBy>Murphy, Colleen</cp:lastModifiedBy>
  <cp:revision>2</cp:revision>
  <cp:lastPrinted>2017-06-29T13:28:00Z</cp:lastPrinted>
  <dcterms:created xsi:type="dcterms:W3CDTF">2018-05-23T21:20:00Z</dcterms:created>
  <dcterms:modified xsi:type="dcterms:W3CDTF">2018-05-23T21:20:00Z</dcterms:modified>
</cp:coreProperties>
</file>